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wmf" ContentType="image/x-wmf"/>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word/numbering.xml" ContentType="application/vnd.openxmlformats-officedocument.wordprocessingml.numbering+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170"/>
        <w:ind w:left="0" w:right="0" w:hanging="0"/>
        <w:contextualSpacing/>
        <w:jc w:val="center"/>
        <w:rPr>
          <w:rFonts w:ascii="Times new roman" w:hAnsi="Times new roman"/>
          <w:i w:val="false"/>
          <w:i w:val="false"/>
          <w:iCs w:val="false"/>
          <w:color w:val="000000"/>
          <w:sz w:val="24"/>
          <w:szCs w:val="24"/>
        </w:rPr>
      </w:pPr>
      <w:r>
        <w:rPr/>
        <w:drawing>
          <wp:inline distT="0" distB="0" distL="0" distR="0">
            <wp:extent cx="970915" cy="99885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970915" cy="998855"/>
                    </a:xfrm>
                    <a:prstGeom prst="rect">
                      <a:avLst/>
                    </a:prstGeom>
                  </pic:spPr>
                </pic:pic>
              </a:graphicData>
            </a:graphic>
          </wp:inline>
        </w:drawing>
      </w:r>
    </w:p>
    <w:p>
      <w:pPr>
        <w:pStyle w:val="Nivel01"/>
        <w:spacing w:lineRule="auto" w:line="276" w:before="0" w:after="170"/>
        <w:ind w:left="0" w:right="0" w:hanging="0"/>
        <w:contextualSpacing/>
        <w:jc w:val="center"/>
        <w:rPr>
          <w:sz w:val="24"/>
          <w:szCs w:val="24"/>
        </w:rPr>
      </w:pPr>
      <w:r>
        <w:rPr>
          <w:rFonts w:ascii="Times new roman" w:hAnsi="Times new roman"/>
          <w:i w:val="false"/>
          <w:iCs w:val="false"/>
          <w:color w:val="000000"/>
          <w:sz w:val="24"/>
          <w:szCs w:val="24"/>
        </w:rPr>
        <w:t>MINISTÉRIO DA DEFESA</w:t>
      </w:r>
    </w:p>
    <w:p>
      <w:pPr>
        <w:pStyle w:val="Nivel01"/>
        <w:spacing w:lineRule="auto" w:line="276" w:before="0" w:after="170"/>
        <w:ind w:left="0" w:right="0" w:hanging="0"/>
        <w:contextualSpacing/>
        <w:jc w:val="center"/>
        <w:rPr>
          <w:sz w:val="24"/>
          <w:szCs w:val="24"/>
        </w:rPr>
      </w:pPr>
      <w:r>
        <w:rPr>
          <w:rFonts w:ascii="Times new roman" w:hAnsi="Times new roman"/>
          <w:i w:val="false"/>
          <w:iCs w:val="false"/>
          <w:color w:val="000000"/>
          <w:sz w:val="24"/>
          <w:szCs w:val="24"/>
        </w:rPr>
        <w:t>EXÉRCITO BRASILEIRO</w:t>
      </w:r>
    </w:p>
    <w:p>
      <w:pPr>
        <w:pStyle w:val="Nivel01"/>
        <w:spacing w:lineRule="auto" w:line="276" w:before="0" w:after="170"/>
        <w:ind w:left="0" w:right="0" w:hanging="0"/>
        <w:contextualSpacing/>
        <w:jc w:val="center"/>
        <w:rPr>
          <w:sz w:val="24"/>
          <w:szCs w:val="24"/>
        </w:rPr>
      </w:pPr>
      <w:r>
        <w:rPr>
          <w:rFonts w:ascii="Times new roman" w:hAnsi="Times new roman"/>
          <w:i w:val="false"/>
          <w:iCs w:val="false"/>
          <w:color w:val="000000"/>
          <w:sz w:val="24"/>
          <w:szCs w:val="24"/>
        </w:rPr>
        <w:t>PARQUE REGIONAL DE MANUTENÇÃO/5</w:t>
      </w:r>
    </w:p>
    <w:p>
      <w:pPr>
        <w:pStyle w:val="Nivel01"/>
        <w:spacing w:lineRule="auto" w:line="276" w:before="0" w:after="170"/>
        <w:ind w:left="0" w:right="0" w:hanging="0"/>
        <w:contextualSpacing/>
        <w:jc w:val="center"/>
        <w:rPr>
          <w:sz w:val="24"/>
          <w:szCs w:val="24"/>
        </w:rPr>
      </w:pPr>
      <w:r>
        <w:rPr>
          <w:rFonts w:cs="Calibri" w:ascii="Times new roman" w:hAnsi="Times new roman"/>
          <w:b w:val="false"/>
          <w:bCs w:val="false"/>
          <w:i w:val="false"/>
          <w:iCs w:val="false"/>
          <w:color w:val="000000"/>
          <w:sz w:val="24"/>
          <w:szCs w:val="24"/>
        </w:rPr>
        <w:t>(PARQUE GENERAL ANTÔNIO DE FREITAS BRANDÃO)</w:t>
      </w:r>
    </w:p>
    <w:p>
      <w:pPr>
        <w:pStyle w:val="Normal"/>
        <w:spacing w:lineRule="auto" w:line="276" w:before="0" w:after="170"/>
        <w:ind w:left="0" w:right="0" w:hanging="0"/>
        <w:contextualSpacing/>
        <w:jc w:val="center"/>
        <w:rPr>
          <w:sz w:val="24"/>
          <w:szCs w:val="24"/>
        </w:rPr>
      </w:pPr>
      <w:r>
        <w:rPr>
          <w:rFonts w:cs="Arial" w:ascii="Times new roman" w:hAnsi="Times new roman"/>
          <w:i w:val="false"/>
          <w:iCs w:val="false"/>
          <w:color w:val="000000"/>
          <w:sz w:val="24"/>
          <w:szCs w:val="24"/>
        </w:rPr>
        <w:br/>
      </w:r>
      <w:r>
        <w:rPr>
          <w:rFonts w:cs="Arial" w:ascii="Times new roman" w:hAnsi="Times new roman"/>
          <w:b w:val="false"/>
          <w:bCs w:val="false"/>
          <w:i w:val="false"/>
          <w:iCs w:val="false"/>
          <w:color w:val="000000"/>
          <w:sz w:val="24"/>
          <w:szCs w:val="24"/>
        </w:rPr>
        <w:t>MODELO DE TERMO DE REFERÊNCIA – LEI 14.133/21</w:t>
      </w:r>
    </w:p>
    <w:p>
      <w:pPr>
        <w:pStyle w:val="Normal"/>
        <w:spacing w:lineRule="auto" w:line="276" w:before="0" w:after="170"/>
        <w:ind w:left="0" w:right="0" w:hanging="0"/>
        <w:contextualSpacing/>
        <w:jc w:val="center"/>
        <w:rPr>
          <w:sz w:val="24"/>
          <w:szCs w:val="24"/>
        </w:rPr>
      </w:pPr>
      <w:r>
        <w:rPr>
          <w:rFonts w:cs="Arial" w:ascii="Times new roman" w:hAnsi="Times new roman"/>
          <w:b w:val="false"/>
          <w:bCs w:val="false"/>
          <w:i w:val="false"/>
          <w:iCs w:val="false"/>
          <w:color w:val="000000" w:themeColor="text1"/>
          <w:sz w:val="24"/>
          <w:szCs w:val="24"/>
        </w:rPr>
        <w:t>SERVIÇO COMUM DE ENGENHARIA – CONTRATAÇÃO DIRETA</w:t>
      </w:r>
    </w:p>
    <w:p>
      <w:pPr>
        <w:pStyle w:val="Normal"/>
        <w:spacing w:lineRule="auto" w:line="276" w:before="0" w:after="170"/>
        <w:ind w:left="0" w:right="0" w:hanging="0"/>
        <w:contextualSpacing/>
        <w:jc w:val="center"/>
        <w:rPr>
          <w:rFonts w:cs="Arial"/>
          <w:b/>
          <w:b/>
          <w:bCs/>
          <w:color w:themeColor="text1"/>
          <w:sz w:val="24"/>
          <w:szCs w:val="24"/>
        </w:rPr>
      </w:pPr>
      <w:r>
        <w:rPr>
          <w:rFonts w:cs="Arial"/>
          <w:b/>
          <w:bCs/>
          <w:color w:themeColor="text1"/>
          <w:sz w:val="24"/>
          <w:szCs w:val="24"/>
        </w:rPr>
      </w:r>
    </w:p>
    <w:p>
      <w:pPr>
        <w:pStyle w:val="CAPAOUTROSELEM"/>
        <w:spacing w:lineRule="auto" w:line="276" w:before="0" w:after="170"/>
        <w:ind w:left="0" w:right="0" w:hanging="0"/>
        <w:contextualSpacing/>
        <w:rPr/>
      </w:pPr>
      <w:r>
        <w:rPr>
          <w:rFonts w:eastAsia="Segoe UI" w:cs="Calibri" w:ascii="Times new roman" w:hAnsi="Times new roman" w:cstheme="minorHAnsi"/>
          <w:b w:val="false"/>
          <w:bCs w:val="false"/>
          <w:i w:val="false"/>
          <w:iCs w:val="false"/>
          <w:caps/>
          <w:color w:val="000000"/>
          <w:kern w:val="0"/>
          <w:sz w:val="24"/>
          <w:szCs w:val="24"/>
          <w:lang w:val="pt-BR" w:eastAsia="pt-BR" w:bidi="ar-SA"/>
        </w:rPr>
        <w:t>Dispensa de Licitação</w:t>
      </w:r>
      <w:r>
        <w:rPr>
          <w:rFonts w:cs="Calibri" w:ascii="Times new roman" w:hAnsi="Times new roman" w:cstheme="minorHAnsi"/>
          <w:b/>
          <w:bCs/>
          <w:i w:val="false"/>
          <w:iCs w:val="false"/>
          <w:color w:val="000000"/>
          <w:sz w:val="24"/>
          <w:szCs w:val="24"/>
        </w:rPr>
        <w:t xml:space="preserve"> 45</w:t>
      </w:r>
      <w:r>
        <w:rPr>
          <w:rFonts w:cs="Calibri" w:ascii="Times new roman" w:hAnsi="Times new roman"/>
          <w:b/>
          <w:bCs/>
          <w:i w:val="false"/>
          <w:iCs w:val="false"/>
          <w:color w:val="000000"/>
          <w:sz w:val="24"/>
          <w:szCs w:val="24"/>
        </w:rPr>
        <w:t>/2023</w:t>
      </w:r>
    </w:p>
    <w:p>
      <w:pPr>
        <w:pStyle w:val="CAPAOUTROSELEM"/>
        <w:spacing w:lineRule="auto" w:line="276" w:before="0" w:after="170"/>
        <w:ind w:left="0" w:right="0" w:hanging="0"/>
        <w:contextualSpacing/>
        <w:rPr>
          <w:rFonts w:ascii="Times new roman" w:hAnsi="Times new roman" w:cs="Calibri"/>
          <w:b/>
          <w:b/>
          <w:bCs/>
          <w:i w:val="false"/>
          <w:i w:val="false"/>
          <w:iCs w:val="false"/>
          <w:color w:val="000000"/>
          <w:sz w:val="24"/>
          <w:szCs w:val="24"/>
        </w:rPr>
      </w:pPr>
      <w:r>
        <w:rPr/>
      </w:r>
    </w:p>
    <w:p>
      <w:pPr>
        <w:pStyle w:val="CAPAOUTROSELEM"/>
        <w:spacing w:lineRule="auto" w:line="276" w:before="0" w:after="170"/>
        <w:ind w:left="0" w:right="0" w:hanging="0"/>
        <w:contextualSpacing/>
        <w:jc w:val="center"/>
        <w:rPr>
          <w:sz w:val="26"/>
          <w:szCs w:val="26"/>
        </w:rPr>
      </w:pPr>
      <w:r>
        <w:rPr>
          <w:rFonts w:cs="Calibri" w:ascii="Times new roman" w:hAnsi="Times new roman" w:cstheme="minorHAnsi"/>
          <w:b w:val="false"/>
          <w:bCs w:val="false"/>
          <w:i w:val="false"/>
          <w:iCs w:val="false"/>
          <w:color w:val="000000"/>
          <w:sz w:val="26"/>
          <w:szCs w:val="26"/>
        </w:rPr>
        <w:t xml:space="preserve">Nup : </w:t>
      </w:r>
      <w:r>
        <w:rPr>
          <w:rFonts w:eastAsia="Segoe UI" w:cs="Calibri" w:ascii="Times new roman" w:hAnsi="Times new roman" w:cstheme="minorHAnsi"/>
          <w:b/>
          <w:bCs/>
          <w:i w:val="false"/>
          <w:iCs w:val="false"/>
          <w:caps/>
          <w:color w:val="000000"/>
          <w:sz w:val="26"/>
          <w:szCs w:val="26"/>
          <w:lang w:val="pt-BR" w:eastAsia="pt-BR" w:bidi="ar-SA"/>
        </w:rPr>
        <w:t>64618.008285/2023-56</w:t>
      </w:r>
    </w:p>
    <w:p>
      <w:pPr>
        <w:pStyle w:val="CAPAOUTROSELEM"/>
        <w:spacing w:lineRule="auto" w:line="276" w:before="0" w:after="170"/>
        <w:ind w:left="0" w:right="0" w:hanging="0"/>
        <w:contextualSpacing/>
        <w:jc w:val="center"/>
        <w:rPr>
          <w:rFonts w:ascii="Times new roman" w:hAnsi="Times new roman" w:cs="Calibri" w:cstheme="minorHAnsi"/>
          <w:b w:val="false"/>
          <w:b w:val="false"/>
          <w:bCs w:val="false"/>
          <w:i w:val="false"/>
          <w:i w:val="false"/>
          <w:iCs w:val="false"/>
          <w:color w:val="000000"/>
        </w:rPr>
      </w:pPr>
      <w:r>
        <w:rPr>
          <w:rFonts w:cs="Calibri" w:cstheme="minorHAnsi" w:ascii="Times new roman" w:hAnsi="Times new roman"/>
          <w:b w:val="false"/>
          <w:bCs w:val="false"/>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val="false"/>
          <w:i w:val="false"/>
          <w:i w:val="false"/>
          <w:iCs w:val="false"/>
          <w:color w:val="000000"/>
        </w:rPr>
      </w:pPr>
      <w:r>
        <w:rPr>
          <w:rFonts w:cs="Calibri" w:cstheme="minorHAnsi" w:ascii="Times new roman" w:hAnsi="Times new roman"/>
          <w:b w:val="false"/>
          <w:bCs w:val="false"/>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val="false"/>
          <w:i w:val="false"/>
          <w:i w:val="false"/>
          <w:iCs w:val="false"/>
          <w:color w:val="000000"/>
        </w:rPr>
      </w:pPr>
      <w:r>
        <w:rPr>
          <w:rFonts w:cs="Calibri" w:cstheme="minorHAnsi" w:ascii="Times new roman" w:hAnsi="Times new roman"/>
          <w:b w:val="false"/>
          <w:bCs w:val="false"/>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val="false"/>
          <w:i w:val="false"/>
          <w:i w:val="false"/>
          <w:iCs w:val="false"/>
          <w:color w:val="000000"/>
        </w:rPr>
      </w:pPr>
      <w:r>
        <w:rPr>
          <w:rFonts w:cs="Calibri" w:cstheme="minorHAnsi" w:ascii="Times new roman" w:hAnsi="Times new roman"/>
          <w:b w:val="false"/>
          <w:bCs w:val="false"/>
          <w:i w:val="false"/>
          <w:iCs w:val="false"/>
          <w:color w:val="000000"/>
        </w:rPr>
      </w:r>
    </w:p>
    <w:p>
      <w:pPr>
        <w:pStyle w:val="Normal"/>
        <w:widowControl/>
        <w:suppressAutoHyphens w:val="false"/>
        <w:spacing w:lineRule="auto" w:line="276" w:before="0" w:after="170"/>
        <w:ind w:left="0" w:right="0" w:hanging="0"/>
        <w:contextualSpacing/>
        <w:jc w:val="center"/>
        <w:rPr>
          <w:rFonts w:ascii="Times new roman" w:hAnsi="Times new roman" w:eastAsia="Times New Roman" w:cs="Calibri" w:cstheme="minorHAnsi"/>
          <w:b w:val="false"/>
          <w:b w:val="false"/>
          <w:bCs w:val="false"/>
          <w:i w:val="false"/>
          <w:i w:val="false"/>
          <w:iCs w:val="false"/>
          <w:color w:val="00000A"/>
          <w:sz w:val="24"/>
          <w:szCs w:val="24"/>
        </w:rPr>
      </w:pPr>
      <w:r>
        <w:rPr>
          <w:rFonts w:eastAsia="Times New Roman" w:cs="Calibri" w:ascii="Times new roman" w:hAnsi="Times new roman" w:cstheme="minorHAnsi"/>
          <w:b w:val="false"/>
          <w:bCs w:val="false"/>
          <w:i w:val="false"/>
          <w:iCs w:val="false"/>
          <w:color w:val="00000A"/>
          <w:sz w:val="24"/>
          <w:szCs w:val="24"/>
        </w:rPr>
        <w:t xml:space="preserve">ADEQUAÇÃO DE </w:t>
      </w:r>
      <w:r>
        <w:rPr>
          <w:rFonts w:eastAsia="Times New Roman" w:cs="Calibri" w:ascii="Times new roman" w:hAnsi="Times new roman" w:cstheme="minorHAnsi"/>
          <w:b w:val="false"/>
          <w:bCs w:val="false"/>
          <w:i w:val="false"/>
          <w:iCs w:val="false"/>
          <w:color w:val="00000A"/>
          <w:kern w:val="0"/>
          <w:sz w:val="24"/>
          <w:szCs w:val="24"/>
          <w:lang w:eastAsia="pt-BR" w:bidi="ar-SA"/>
        </w:rPr>
        <w:t>ELÉTRICA DO PAVILHÃO 08 – TRATAMENTO SUPERFICIAL</w:t>
      </w:r>
    </w:p>
    <w:p>
      <w:pPr>
        <w:pStyle w:val="Normal"/>
        <w:widowControl/>
        <w:suppressAutoHyphens w:val="false"/>
        <w:spacing w:lineRule="auto" w:line="276" w:before="0" w:after="170"/>
        <w:ind w:left="0" w:right="0" w:hanging="0"/>
        <w:contextualSpacing/>
        <w:jc w:val="center"/>
        <w:rPr>
          <w:rFonts w:ascii="Times new roman" w:hAnsi="Times new roman" w:eastAsia="Times New Roman" w:cs="Calibri" w:cstheme="minorHAnsi"/>
          <w:b w:val="false"/>
          <w:b w:val="false"/>
          <w:bCs w:val="false"/>
          <w:i w:val="false"/>
          <w:i w:val="false"/>
          <w:iCs w:val="false"/>
          <w:color w:val="00000A"/>
          <w:sz w:val="24"/>
          <w:szCs w:val="24"/>
        </w:rPr>
      </w:pPr>
      <w:r>
        <w:rPr>
          <w:rFonts w:eastAsia="Times New Roman" w:cs="Calibri" w:ascii="Times new roman" w:hAnsi="Times new roman" w:cstheme="minorHAnsi"/>
          <w:b w:val="false"/>
          <w:bCs w:val="false"/>
          <w:i w:val="false"/>
          <w:iCs w:val="false"/>
          <w:color w:val="00000A"/>
          <w:kern w:val="0"/>
          <w:sz w:val="24"/>
          <w:szCs w:val="24"/>
          <w:lang w:eastAsia="pt-BR" w:bidi="ar-SA"/>
        </w:rPr>
        <w:t xml:space="preserve"> </w:t>
      </w:r>
      <w:r>
        <w:rPr>
          <w:rFonts w:eastAsia="Times New Roman" w:cs="Calibri" w:ascii="Times new roman" w:hAnsi="Times new roman" w:cstheme="minorHAnsi"/>
          <w:b w:val="false"/>
          <w:bCs w:val="false"/>
          <w:i w:val="false"/>
          <w:iCs w:val="false"/>
          <w:color w:val="00000A"/>
          <w:kern w:val="0"/>
          <w:sz w:val="24"/>
          <w:szCs w:val="24"/>
          <w:lang w:eastAsia="pt-BR" w:bidi="ar-SA"/>
        </w:rPr>
        <w:t>DE ARMAMENTO</w:t>
      </w:r>
      <w:r>
        <w:rPr>
          <w:rFonts w:eastAsia="Times New Roman" w:cs="Calibri" w:ascii="Times new roman" w:hAnsi="Times new roman" w:cstheme="minorHAnsi"/>
          <w:b w:val="false"/>
          <w:bCs w:val="false"/>
          <w:i w:val="false"/>
          <w:iCs w:val="false"/>
          <w:color w:val="00000A"/>
          <w:sz w:val="24"/>
          <w:szCs w:val="24"/>
        </w:rPr>
        <w:t xml:space="preserve"> DO PQ R MNT/5</w:t>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Normal"/>
        <w:widowControl/>
        <w:suppressAutoHyphens w:val="false"/>
        <w:spacing w:lineRule="auto" w:line="276" w:before="0" w:after="170"/>
        <w:ind w:left="0" w:right="0" w:hanging="0"/>
        <w:contextualSpacing/>
        <w:jc w:val="center"/>
        <w:rPr>
          <w:rFonts w:eastAsia="Times New Roman"/>
        </w:rPr>
      </w:pPr>
      <w:r>
        <w:rPr>
          <w:rFonts w:eastAsia="Times New Roman"/>
        </w:rPr>
      </w:r>
    </w:p>
    <w:p>
      <w:pPr>
        <w:pStyle w:val="CAPAOUTROSELEM"/>
        <w:spacing w:lineRule="auto" w:line="276" w:before="0" w:after="170"/>
        <w:ind w:left="0" w:right="0" w:hanging="0"/>
        <w:contextualSpacing/>
        <w:jc w:val="center"/>
        <w:rPr>
          <w:sz w:val="24"/>
          <w:szCs w:val="24"/>
        </w:rPr>
      </w:pPr>
      <w:r>
        <w:rPr>
          <w:rFonts w:cs="Calibri" w:ascii="Times new roman" w:hAnsi="Times new roman" w:cstheme="minorHAnsi"/>
          <w:b w:val="false"/>
          <w:bCs/>
          <w:i w:val="false"/>
          <w:iCs w:val="false"/>
          <w:color w:val="000000"/>
          <w:sz w:val="24"/>
          <w:szCs w:val="24"/>
        </w:rPr>
        <w:t>PARQUE REGIONAL DE MANUTENÇÃO 5 – CURITIBA / PARANÁ</w:t>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CAPAOUTROSELEM"/>
        <w:spacing w:lineRule="auto" w:line="276" w:before="0" w:after="170"/>
        <w:ind w:left="0" w:right="0" w:hanging="0"/>
        <w:contextualSpacing/>
        <w:jc w:val="center"/>
        <w:rPr>
          <w:rFonts w:ascii="Times new roman" w:hAnsi="Times new roman" w:cs="Calibri" w:cstheme="minorHAnsi"/>
          <w:b w:val="false"/>
          <w:b w:val="false"/>
          <w:bCs/>
          <w:i w:val="false"/>
          <w:i w:val="false"/>
          <w:iCs w:val="false"/>
          <w:color w:val="000000"/>
        </w:rPr>
      </w:pPr>
      <w:r>
        <w:rPr>
          <w:rFonts w:cs="Calibri" w:cstheme="minorHAnsi" w:ascii="Times new roman" w:hAnsi="Times new roman"/>
          <w:b w:val="false"/>
          <w:bCs/>
          <w:i w:val="false"/>
          <w:iCs w:val="false"/>
          <w:color w:val="000000"/>
        </w:rPr>
      </w:r>
    </w:p>
    <w:p>
      <w:pPr>
        <w:pStyle w:val="Normal"/>
        <w:spacing w:lineRule="auto" w:line="276" w:before="0" w:after="170"/>
        <w:ind w:left="0" w:right="0" w:hanging="0"/>
        <w:contextualSpacing/>
        <w:jc w:val="center"/>
        <w:rPr>
          <w:rFonts w:ascii="Times new roman" w:hAnsi="Times new roman" w:cs="Arial"/>
          <w:b/>
          <w:b/>
          <w:bCs/>
          <w:i w:val="false"/>
          <w:i w:val="false"/>
          <w:iCs w:val="false"/>
          <w:color w:val="000000"/>
          <w:sz w:val="24"/>
          <w:szCs w:val="24"/>
        </w:rPr>
      </w:pPr>
      <w:r>
        <w:rPr>
          <w:rFonts w:cs="Arial" w:ascii="Times new roman" w:hAnsi="Times new roman"/>
          <w:b/>
          <w:bCs/>
          <w:i w:val="false"/>
          <w:iCs w:val="false"/>
          <w:color w:val="000000"/>
          <w:sz w:val="24"/>
          <w:szCs w:val="24"/>
        </w:rPr>
      </w:r>
    </w:p>
    <w:p>
      <w:pPr>
        <w:pStyle w:val="Nivel1"/>
        <w:numPr>
          <w:ilvl w:val="0"/>
          <w:numId w:val="3"/>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DAS CONDIÇÕES GERAIS DA CONTRATAÇÃO (art. 6º, XXIII, “a” e “i” da Lei n. 14.133/2021).</w:t>
      </w:r>
    </w:p>
    <w:p>
      <w:pPr>
        <w:pStyle w:val="ListParagraph"/>
        <w:numPr>
          <w:ilvl w:val="1"/>
          <w:numId w:val="4"/>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Contratação de</w:t>
      </w:r>
      <w:r>
        <w:rPr>
          <w:rFonts w:cs="Arial" w:ascii="Times new roman" w:hAnsi="Times new roman"/>
          <w:bCs/>
          <w:i w:val="false"/>
          <w:iCs w:val="false"/>
          <w:color w:val="000000"/>
          <w:sz w:val="24"/>
          <w:szCs w:val="24"/>
        </w:rPr>
        <w:t xml:space="preserve"> </w:t>
      </w:r>
      <w:r>
        <w:rPr>
          <w:rStyle w:val="Fontepargpadro"/>
          <w:rFonts w:eastAsia="Times new roman" w:cs="Times new roman" w:ascii="Times new roman" w:hAnsi="Times new roman"/>
          <w:b w:val="false"/>
          <w:bCs/>
          <w:i w:val="false"/>
          <w:iCs w:val="false"/>
          <w:caps w:val="false"/>
          <w:smallCaps w:val="false"/>
          <w:strike w:val="false"/>
          <w:dstrike w:val="false"/>
          <w:color w:val="000000"/>
          <w:position w:val="0"/>
          <w:sz w:val="24"/>
          <w:sz w:val="24"/>
          <w:szCs w:val="24"/>
          <w:u w:val="none"/>
          <w:vertAlign w:val="baseline"/>
          <w:lang w:eastAsia="pt-BR"/>
        </w:rPr>
        <w:t>ADEQUAÇÃO DE ELÉTRICA DO PAVILHÃO 08 DO PARQUE REGIONAL DE MANUTENÇÃO 5</w:t>
      </w:r>
      <w:r>
        <w:rPr>
          <w:rFonts w:cs="Arial" w:ascii="Times new roman" w:hAnsi="Times new roman"/>
          <w:i w:val="false"/>
          <w:iCs w:val="false"/>
          <w:color w:val="000000"/>
          <w:sz w:val="24"/>
          <w:szCs w:val="24"/>
        </w:rPr>
        <w:t xml:space="preserve"> nos termos da tabela abaixo, conforme condições e exigências estabelecidas neste instrumento.</w:t>
      </w:r>
    </w:p>
    <w:tbl>
      <w:tblPr>
        <w:tblW w:w="9300" w:type="dxa"/>
        <w:jc w:val="left"/>
        <w:tblInd w:w="-147" w:type="dxa"/>
        <w:tblCellMar>
          <w:top w:w="0" w:type="dxa"/>
          <w:left w:w="103" w:type="dxa"/>
          <w:bottom w:w="0" w:type="dxa"/>
          <w:right w:w="108" w:type="dxa"/>
        </w:tblCellMar>
        <w:tblLook w:val="04a0" w:noHBand="0" w:noVBand="1" w:firstColumn="1" w:lastRow="0" w:lastColumn="0" w:firstRow="1"/>
      </w:tblPr>
      <w:tblGrid>
        <w:gridCol w:w="1076"/>
        <w:gridCol w:w="2657"/>
        <w:gridCol w:w="1425"/>
        <w:gridCol w:w="1501"/>
        <w:gridCol w:w="1168"/>
        <w:gridCol w:w="1472"/>
      </w:tblGrid>
      <w:tr>
        <w:trPr>
          <w:trHeight w:val="630" w:hRule="atLeast"/>
        </w:trPr>
        <w:tc>
          <w:tcPr>
            <w:tcW w:w="107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contextualSpacing/>
              <w:jc w:val="center"/>
              <w:rPr>
                <w:sz w:val="24"/>
                <w:szCs w:val="24"/>
              </w:rPr>
            </w:pPr>
            <w:r>
              <w:rPr>
                <w:rFonts w:cs="Arial" w:ascii="Times new roman" w:hAnsi="Times new roman"/>
                <w:b/>
                <w:bCs/>
                <w:i w:val="false"/>
                <w:iCs w:val="false"/>
                <w:color w:val="000000"/>
                <w:sz w:val="24"/>
                <w:szCs w:val="24"/>
              </w:rPr>
              <w:t>ITEM</w:t>
            </w:r>
          </w:p>
        </w:tc>
        <w:tc>
          <w:tcPr>
            <w:tcW w:w="26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contextualSpacing/>
              <w:jc w:val="center"/>
              <w:rPr>
                <w:sz w:val="24"/>
                <w:szCs w:val="24"/>
              </w:rPr>
            </w:pPr>
            <w:r>
              <w:rPr>
                <w:rFonts w:cs="Arial" w:ascii="Times new roman" w:hAnsi="Times new roman"/>
                <w:b/>
                <w:bCs/>
                <w:i w:val="false"/>
                <w:iCs w:val="false"/>
                <w:color w:val="000000"/>
                <w:sz w:val="24"/>
                <w:szCs w:val="24"/>
              </w:rPr>
              <w:t>ESPECIFICAÇÃO</w:t>
            </w:r>
          </w:p>
        </w:tc>
        <w:tc>
          <w:tcPr>
            <w:tcW w:w="14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contextualSpacing/>
              <w:jc w:val="center"/>
              <w:rPr>
                <w:sz w:val="24"/>
                <w:szCs w:val="24"/>
              </w:rPr>
            </w:pPr>
            <w:r>
              <w:rPr>
                <w:rFonts w:cs="Arial" w:ascii="Times new roman" w:hAnsi="Times new roman"/>
                <w:b/>
                <w:bCs/>
                <w:i w:val="false"/>
                <w:iCs w:val="false"/>
                <w:color w:val="000000"/>
                <w:sz w:val="24"/>
                <w:szCs w:val="24"/>
              </w:rPr>
              <w:t>CATSER</w:t>
            </w:r>
          </w:p>
        </w:tc>
        <w:tc>
          <w:tcPr>
            <w:tcW w:w="150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contextualSpacing/>
              <w:jc w:val="center"/>
              <w:rPr>
                <w:sz w:val="24"/>
                <w:szCs w:val="24"/>
              </w:rPr>
            </w:pPr>
            <w:r>
              <w:rPr>
                <w:rFonts w:cs="Arial" w:ascii="Times new roman" w:hAnsi="Times new roman"/>
                <w:b/>
                <w:bCs/>
                <w:i w:val="false"/>
                <w:iCs w:val="false"/>
                <w:color w:val="000000"/>
                <w:sz w:val="24"/>
                <w:szCs w:val="24"/>
              </w:rPr>
              <w:t>UNIDADE  MEDIDA</w:t>
            </w:r>
          </w:p>
        </w:tc>
        <w:tc>
          <w:tcPr>
            <w:tcW w:w="116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contextualSpacing/>
              <w:jc w:val="center"/>
              <w:rPr>
                <w:sz w:val="24"/>
                <w:szCs w:val="24"/>
              </w:rPr>
            </w:pPr>
            <w:r>
              <w:rPr>
                <w:rFonts w:cs="Arial" w:ascii="Times new roman" w:hAnsi="Times new roman"/>
                <w:b/>
                <w:bCs/>
                <w:i w:val="false"/>
                <w:iCs w:val="false"/>
                <w:color w:val="000000"/>
                <w:sz w:val="24"/>
                <w:szCs w:val="24"/>
              </w:rPr>
              <w:t>QNT</w:t>
            </w:r>
          </w:p>
        </w:tc>
        <w:tc>
          <w:tcPr>
            <w:tcW w:w="147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contextualSpacing/>
              <w:jc w:val="center"/>
              <w:rPr>
                <w:sz w:val="24"/>
                <w:szCs w:val="24"/>
              </w:rPr>
            </w:pPr>
            <w:r>
              <w:rPr>
                <w:rFonts w:cs="Arial" w:ascii="Times new roman" w:hAnsi="Times new roman"/>
                <w:b/>
                <w:bCs/>
                <w:i w:val="false"/>
                <w:iCs w:val="false"/>
                <w:color w:val="000000"/>
                <w:sz w:val="24"/>
                <w:szCs w:val="24"/>
              </w:rPr>
              <w:t>VALOR UNT</w:t>
            </w:r>
          </w:p>
        </w:tc>
      </w:tr>
      <w:tr>
        <w:trPr/>
        <w:tc>
          <w:tcPr>
            <w:tcW w:w="107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0" w:after="170"/>
              <w:ind w:left="0" w:right="0" w:hanging="0"/>
              <w:contextualSpacing/>
              <w:jc w:val="center"/>
              <w:rPr>
                <w:sz w:val="24"/>
                <w:szCs w:val="24"/>
              </w:rPr>
            </w:pPr>
            <w:r>
              <w:rPr>
                <w:rFonts w:cs="Arial" w:ascii="Times new roman" w:hAnsi="Times new roman"/>
                <w:b/>
                <w:i w:val="false"/>
                <w:iCs w:val="false"/>
                <w:color w:val="000000"/>
                <w:sz w:val="24"/>
                <w:szCs w:val="24"/>
              </w:rPr>
              <w:t>1</w:t>
            </w:r>
          </w:p>
        </w:tc>
        <w:tc>
          <w:tcPr>
            <w:tcW w:w="2657" w:type="dxa"/>
            <w:tcBorders>
              <w:top w:val="single" w:sz="4" w:space="0" w:color="000001"/>
              <w:left w:val="single" w:sz="4" w:space="0" w:color="000001"/>
              <w:bottom w:val="single" w:sz="4" w:space="0" w:color="000001"/>
              <w:right w:val="single" w:sz="4" w:space="0" w:color="000001"/>
            </w:tcBorders>
            <w:shd w:fill="auto" w:val="clear"/>
          </w:tcPr>
          <w:p>
            <w:pPr>
              <w:pStyle w:val="Ttulo2"/>
              <w:widowControl w:val="false"/>
              <w:numPr>
                <w:ilvl w:val="1"/>
                <w:numId w:val="2"/>
              </w:numPr>
              <w:suppressAutoHyphens w:val="true"/>
              <w:spacing w:lineRule="auto" w:line="276" w:before="0" w:after="170"/>
              <w:ind w:left="0" w:right="0" w:hanging="0"/>
              <w:contextualSpacing/>
              <w:jc w:val="center"/>
              <w:rPr>
                <w:sz w:val="24"/>
                <w:szCs w:val="24"/>
              </w:rPr>
            </w:pPr>
            <w:r>
              <w:rPr>
                <w:rFonts w:eastAsia="Times New Roman" w:cs="Calibri" w:ascii="Times new roman" w:hAnsi="Times new roman" w:cstheme="minorHAnsi"/>
                <w:b w:val="false"/>
                <w:bCs w:val="false"/>
                <w:i w:val="false"/>
                <w:iCs w:val="false"/>
                <w:color w:val="00000A"/>
                <w:sz w:val="24"/>
                <w:szCs w:val="24"/>
                <w:u w:val="none"/>
              </w:rPr>
              <w:t xml:space="preserve">ADEQUAÇÃO DE </w:t>
            </w:r>
            <w:r>
              <w:rPr>
                <w:rFonts w:eastAsia="Times New Roman" w:cs="Calibri" w:ascii="Times new roman" w:hAnsi="Times new roman" w:cstheme="minorHAnsi"/>
                <w:b w:val="false"/>
                <w:bCs w:val="false"/>
                <w:i w:val="false"/>
                <w:iCs w:val="false"/>
                <w:color w:val="00000A"/>
                <w:kern w:val="0"/>
                <w:sz w:val="24"/>
                <w:szCs w:val="24"/>
                <w:u w:val="none"/>
                <w:lang w:eastAsia="pt-BR" w:bidi="ar-SA"/>
              </w:rPr>
              <w:t>ELÉTRICA DO PAVILHÃO 08 – TRATAMENTO SUPERFICIAL DE ARMAMENTO</w:t>
            </w:r>
            <w:r>
              <w:rPr>
                <w:rFonts w:eastAsia="Times New Roman" w:cs="Calibri" w:ascii="Times new roman" w:hAnsi="Times new roman" w:cstheme="minorHAnsi"/>
                <w:b w:val="false"/>
                <w:bCs w:val="false"/>
                <w:i w:val="false"/>
                <w:iCs w:val="false"/>
                <w:color w:val="00000A"/>
                <w:sz w:val="24"/>
                <w:szCs w:val="24"/>
                <w:u w:val="none"/>
              </w:rPr>
              <w:t xml:space="preserve"> DO PQ R MNT</w:t>
            </w:r>
          </w:p>
        </w:tc>
        <w:tc>
          <w:tcPr>
            <w:tcW w:w="142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57" w:after="227"/>
              <w:ind w:left="0" w:right="0" w:hanging="0"/>
              <w:contextualSpacing/>
              <w:jc w:val="center"/>
              <w:rPr>
                <w:color w:val="000000"/>
              </w:rPr>
            </w:pPr>
            <w:r>
              <w:rPr>
                <w:rFonts w:cs="Arial" w:ascii="Times new roman" w:hAnsi="Times new roman"/>
                <w:i w:val="false"/>
                <w:iCs w:val="false"/>
                <w:color w:val="000000"/>
                <w:sz w:val="24"/>
                <w:szCs w:val="24"/>
              </w:rPr>
              <w:t>5606</w:t>
            </w:r>
          </w:p>
        </w:tc>
        <w:tc>
          <w:tcPr>
            <w:tcW w:w="150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57" w:after="227"/>
              <w:ind w:left="0" w:right="0" w:hanging="0"/>
              <w:contextualSpacing/>
              <w:jc w:val="center"/>
              <w:rPr>
                <w:sz w:val="24"/>
                <w:szCs w:val="24"/>
              </w:rPr>
            </w:pPr>
            <w:r>
              <w:rPr>
                <w:rFonts w:cs="Arial" w:ascii="Times new roman" w:hAnsi="Times new roman"/>
                <w:i w:val="false"/>
                <w:iCs w:val="false"/>
                <w:color w:val="000000"/>
                <w:sz w:val="24"/>
                <w:szCs w:val="24"/>
              </w:rPr>
              <w:t xml:space="preserve">Serviço </w:t>
            </w:r>
          </w:p>
        </w:tc>
        <w:tc>
          <w:tcPr>
            <w:tcW w:w="116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57" w:after="227"/>
              <w:ind w:left="0" w:right="0" w:hanging="0"/>
              <w:contextualSpacing/>
              <w:jc w:val="center"/>
              <w:rPr>
                <w:sz w:val="24"/>
                <w:szCs w:val="24"/>
              </w:rPr>
            </w:pPr>
            <w:r>
              <w:rPr>
                <w:rFonts w:cs="Arial" w:ascii="Times new roman" w:hAnsi="Times new roman"/>
                <w:i w:val="false"/>
                <w:iCs w:val="false"/>
                <w:color w:val="000000"/>
                <w:sz w:val="24"/>
                <w:szCs w:val="24"/>
              </w:rPr>
              <w:t>1</w:t>
            </w:r>
          </w:p>
        </w:tc>
        <w:tc>
          <w:tcPr>
            <w:tcW w:w="147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spacing w:lineRule="auto" w:line="276" w:before="57" w:after="227"/>
              <w:ind w:left="0" w:right="0" w:hanging="0"/>
              <w:contextualSpacing/>
              <w:jc w:val="center"/>
              <w:rPr/>
            </w:pPr>
            <w:r>
              <w:rPr>
                <w:rFonts w:cs="Arial" w:ascii="Times new roman" w:hAnsi="Times new roman"/>
                <w:i w:val="false"/>
                <w:iCs w:val="false"/>
                <w:color w:val="000000"/>
                <w:sz w:val="24"/>
                <w:szCs w:val="24"/>
              </w:rPr>
              <w:t>R$ 69.841,10</w:t>
            </w:r>
          </w:p>
        </w:tc>
      </w:tr>
    </w:tbl>
    <w:p>
      <w:pPr>
        <w:pStyle w:val="ListParagraph"/>
        <w:numPr>
          <w:ilvl w:val="0"/>
          <w:numId w:val="0"/>
        </w:numPr>
        <w:spacing w:lineRule="auto" w:line="276" w:before="0" w:after="170"/>
        <w:ind w:left="0" w:right="0" w:hanging="0"/>
        <w:contextualSpacing/>
        <w:jc w:val="both"/>
        <w:rPr>
          <w:rFonts w:cs="Arial"/>
          <w:sz w:val="24"/>
          <w:szCs w:val="24"/>
        </w:rPr>
      </w:pPr>
      <w:r>
        <w:rPr>
          <w:rFonts w:cs="Arial"/>
          <w:sz w:val="24"/>
          <w:szCs w:val="24"/>
        </w:rPr>
      </w:r>
    </w:p>
    <w:p>
      <w:pPr>
        <w:pStyle w:val="Ttulo2"/>
        <w:numPr>
          <w:ilvl w:val="1"/>
          <w:numId w:val="4"/>
        </w:numPr>
        <w:spacing w:lineRule="auto" w:line="276" w:before="0" w:after="170"/>
        <w:ind w:left="0" w:right="0" w:hanging="0"/>
        <w:contextualSpacing/>
        <w:jc w:val="both"/>
        <w:rPr/>
      </w:pPr>
      <w:r>
        <w:rPr>
          <w:rStyle w:val="Eop"/>
          <w:rFonts w:cs="Arial" w:ascii="Times new roman" w:hAnsi="Times new roman"/>
          <w:b w:val="false"/>
          <w:bCs w:val="false"/>
          <w:i w:val="false"/>
          <w:iCs w:val="false"/>
          <w:color w:val="000000"/>
          <w:sz w:val="24"/>
          <w:szCs w:val="24"/>
        </w:rPr>
        <w:t xml:space="preserve">O prazo de vigência da contratação é de </w:t>
      </w:r>
      <w:r>
        <w:rPr>
          <w:rStyle w:val="Eop"/>
          <w:rFonts w:cs="Arial" w:ascii="Times new roman" w:hAnsi="Times new roman"/>
          <w:b w:val="false"/>
          <w:bCs w:val="false"/>
          <w:i w:val="false"/>
          <w:iCs w:val="false"/>
          <w:color w:val="000000"/>
          <w:sz w:val="24"/>
          <w:szCs w:val="24"/>
          <w:u w:val="single"/>
        </w:rPr>
        <w:t>250 dias (correspondentes ao de execução, acrescido de 7 dias de mobilização, antes do início da execução, e de 180 dias depois término da execução, compreendendo 15 dias de prazo de entrega provisória, 90 dias de prazo de entrega definitiva e 75 dias de prazo para medidas administrativas, como elaboração de reequilíbrios, termos aditivos, apostilamentos e paralisações eventuais por necessidade da organização militar)</w:t>
      </w:r>
      <w:r>
        <w:rPr>
          <w:rStyle w:val="Eop"/>
          <w:rFonts w:cs="Arial" w:ascii="Times new roman" w:hAnsi="Times new roman"/>
          <w:b w:val="false"/>
          <w:bCs w:val="false"/>
          <w:i w:val="false"/>
          <w:iCs w:val="false"/>
          <w:color w:val="000000"/>
          <w:sz w:val="24"/>
          <w:szCs w:val="24"/>
        </w:rPr>
        <w:t xml:space="preserve"> contados da </w:t>
      </w:r>
      <w:r>
        <w:rPr>
          <w:rStyle w:val="Eop"/>
          <w:rFonts w:cs="Arial" w:ascii="Times new roman" w:hAnsi="Times new roman"/>
          <w:b w:val="false"/>
          <w:bCs w:val="false"/>
          <w:i w:val="false"/>
          <w:iCs w:val="false"/>
          <w:color w:val="000000"/>
          <w:sz w:val="24"/>
          <w:szCs w:val="24"/>
          <w:u w:val="single"/>
        </w:rPr>
        <w:t>Ordem de Serviço</w:t>
      </w:r>
      <w:r>
        <w:rPr>
          <w:rStyle w:val="Eop"/>
          <w:rFonts w:cs="Arial" w:ascii="Times new roman" w:hAnsi="Times new roman"/>
          <w:b w:val="false"/>
          <w:bCs w:val="false"/>
          <w:i w:val="false"/>
          <w:iCs w:val="false"/>
          <w:color w:val="000000"/>
          <w:sz w:val="24"/>
          <w:szCs w:val="24"/>
        </w:rPr>
        <w:t xml:space="preserve"> na forma do artigo 105 da Lei n° 14.133, de 2021.</w:t>
      </w:r>
    </w:p>
    <w:p>
      <w:pPr>
        <w:pStyle w:val="Ttulo2"/>
        <w:numPr>
          <w:ilvl w:val="1"/>
          <w:numId w:val="4"/>
        </w:numPr>
        <w:spacing w:lineRule="auto" w:line="276" w:before="0" w:after="170"/>
        <w:ind w:left="0" w:right="0" w:hanging="0"/>
        <w:contextualSpacing/>
        <w:jc w:val="both"/>
        <w:rPr/>
      </w:pPr>
      <w:r>
        <w:rPr>
          <w:rStyle w:val="Eop"/>
          <w:rFonts w:cs="Calibri" w:ascii="Times new roman" w:hAnsi="Times new roman" w:cstheme="minorHAnsi"/>
          <w:b w:val="false"/>
          <w:bCs w:val="false"/>
          <w:i w:val="false"/>
          <w:iCs w:val="false"/>
          <w:color w:val="000000"/>
          <w:sz w:val="24"/>
          <w:szCs w:val="24"/>
        </w:rPr>
        <w:t>Os serviços objeto desta contratação são caracterizados como comuns, conforme justificativa constante do Estudo Técnico Preliminar.</w:t>
      </w:r>
    </w:p>
    <w:p>
      <w:pPr>
        <w:pStyle w:val="ListParagraph"/>
        <w:numPr>
          <w:ilvl w:val="1"/>
          <w:numId w:val="4"/>
        </w:numPr>
        <w:spacing w:lineRule="auto" w:line="276" w:before="0" w:after="170"/>
        <w:ind w:left="0" w:right="0" w:hanging="0"/>
        <w:contextualSpacing/>
        <w:jc w:val="both"/>
        <w:rPr/>
      </w:pPr>
      <w:r>
        <w:rPr>
          <w:rFonts w:cs="Arial" w:ascii="Times new roman" w:hAnsi="Times new roman"/>
          <w:i w:val="false"/>
          <w:iCs w:val="false"/>
          <w:color w:val="000000"/>
          <w:sz w:val="24"/>
          <w:szCs w:val="24"/>
        </w:rPr>
        <w:t>O custo estimado total da contratação é de R$ 69.841,10. (Sessenta e nove mil, oitocentos e quarenta e um reais e quarenta e um centavos).</w:t>
      </w:r>
    </w:p>
    <w:p>
      <w:pPr>
        <w:pStyle w:val="ListParagraph"/>
        <w:spacing w:lineRule="auto" w:line="276" w:before="0" w:after="170"/>
        <w:ind w:left="0" w:right="0" w:hanging="0"/>
        <w:contextualSpacing/>
        <w:jc w:val="both"/>
        <w:rPr>
          <w:rFonts w:ascii="Times new roman" w:hAnsi="Times new roman" w:cs="Arial"/>
          <w:i w:val="false"/>
          <w:i w:val="false"/>
          <w:iCs w:val="false"/>
          <w:color w:val="000000"/>
          <w:sz w:val="24"/>
          <w:szCs w:val="24"/>
        </w:rPr>
      </w:pPr>
      <w:r>
        <w:rPr>
          <w:rFonts w:cs="Arial" w:ascii="Times new roman" w:hAnsi="Times new roman"/>
          <w:i w:val="false"/>
          <w:iCs w:val="false"/>
          <w:color w:val="000000"/>
          <w:sz w:val="24"/>
          <w:szCs w:val="24"/>
        </w:rPr>
      </w:r>
    </w:p>
    <w:p>
      <w:pPr>
        <w:pStyle w:val="ListParagraph"/>
        <w:numPr>
          <w:ilvl w:val="1"/>
          <w:numId w:val="4"/>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Ressalvado o objeto ou parte dele sujeito ao regime de </w:t>
      </w:r>
      <w:r>
        <w:rPr>
          <w:rFonts w:cs="Arial" w:ascii="Times new roman" w:hAnsi="Times new roman"/>
          <w:b/>
          <w:bCs/>
          <w:i w:val="false"/>
          <w:iCs w:val="false"/>
          <w:color w:val="000000"/>
          <w:sz w:val="24"/>
          <w:szCs w:val="24"/>
        </w:rPr>
        <w:t>empreitada por preço unitário</w:t>
      </w:r>
      <w:r>
        <w:rPr>
          <w:rFonts w:cs="Arial" w:ascii="Times new roman" w:hAnsi="Times new roman"/>
          <w:i w:val="false"/>
          <w:iCs w:val="false"/>
          <w:color w:val="000000"/>
          <w:sz w:val="24"/>
          <w:szCs w:val="24"/>
        </w:rPr>
        <w:t xml:space="preserve">, o critério de </w:t>
      </w:r>
      <w:r>
        <w:rPr>
          <w:rFonts w:cs="Arial" w:ascii="Times new roman" w:hAnsi="Times new roman"/>
          <w:b/>
          <w:bCs/>
          <w:i w:val="false"/>
          <w:iCs w:val="false"/>
          <w:color w:val="000000"/>
          <w:sz w:val="24"/>
          <w:szCs w:val="24"/>
        </w:rPr>
        <w:t>aceitabilidade de preços será o valor global</w:t>
      </w:r>
      <w:r>
        <w:rPr>
          <w:rFonts w:cs="Arial" w:ascii="Times new roman" w:hAnsi="Times new roman"/>
          <w:i w:val="false"/>
          <w:iCs w:val="false"/>
          <w:color w:val="000000"/>
          <w:sz w:val="24"/>
          <w:szCs w:val="24"/>
        </w:rPr>
        <w:t xml:space="preserve"> estimado para a contratação.</w:t>
      </w:r>
    </w:p>
    <w:p>
      <w:pPr>
        <w:pStyle w:val="ListParagraph"/>
        <w:numPr>
          <w:ilvl w:val="1"/>
          <w:numId w:val="4"/>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 proponente, ou, havendo dispensa eletrônica, aquele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§3º, da Lei nº 14.133/2021);</w:t>
      </w:r>
    </w:p>
    <w:p>
      <w:pPr>
        <w:pStyle w:val="ListParagraph"/>
        <w:numPr>
          <w:ilvl w:val="1"/>
          <w:numId w:val="4"/>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Para o objeto ou parte dele sujeito ao regime de empreitada por preço unitário </w:t>
      </w:r>
      <w:r>
        <w:rPr>
          <w:rFonts w:cs="Arial" w:ascii="Times new roman" w:hAnsi="Times new roman"/>
          <w:i w:val="false"/>
          <w:iCs w:val="false"/>
          <w:color w:val="000000"/>
          <w:sz w:val="24"/>
          <w:szCs w:val="24"/>
          <w:lang w:val="pt-BR"/>
        </w:rPr>
        <w:t>cabe desclassificação em razão de custos unitários superiores aos orçados pela Administração</w:t>
      </w:r>
    </w:p>
    <w:p>
      <w:pPr>
        <w:pStyle w:val="ListParagraph"/>
        <w:numPr>
          <w:ilvl w:val="0"/>
          <w:numId w:val="0"/>
        </w:numPr>
        <w:spacing w:lineRule="auto" w:line="276" w:before="0" w:after="170"/>
        <w:ind w:left="360" w:right="0" w:hanging="0"/>
        <w:contextualSpacing/>
        <w:jc w:val="both"/>
        <w:rPr>
          <w:rFonts w:ascii="Times new roman" w:hAnsi="Times new roman" w:cs="Arial"/>
          <w:b/>
          <w:b/>
          <w:i w:val="false"/>
          <w:i w:val="false"/>
          <w:iCs w:val="false"/>
          <w:color w:val="000000"/>
          <w:sz w:val="24"/>
          <w:szCs w:val="24"/>
        </w:rPr>
      </w:pPr>
      <w:r>
        <w:rPr>
          <w:rFonts w:cs="Arial" w:ascii="Times new roman" w:hAnsi="Times new roman"/>
          <w:b/>
          <w:i w:val="false"/>
          <w:iCs w:val="false"/>
          <w:color w:val="000000"/>
          <w:sz w:val="24"/>
          <w:szCs w:val="24"/>
        </w:rPr>
      </w:r>
    </w:p>
    <w:p>
      <w:pPr>
        <w:pStyle w:val="ListParagraph"/>
        <w:numPr>
          <w:ilvl w:val="0"/>
          <w:numId w:val="14"/>
        </w:numPr>
        <w:spacing w:lineRule="auto" w:line="276" w:before="0" w:after="170"/>
        <w:ind w:left="0" w:right="0" w:hanging="0"/>
        <w:contextualSpacing/>
        <w:jc w:val="both"/>
        <w:rPr/>
      </w:pPr>
      <w:r>
        <w:rPr>
          <w:rFonts w:cs="Arial" w:ascii="Times new roman" w:hAnsi="Times new roman"/>
          <w:b/>
          <w:i w:val="false"/>
          <w:iCs w:val="false"/>
          <w:color w:val="000000"/>
          <w:sz w:val="24"/>
          <w:szCs w:val="24"/>
        </w:rPr>
        <w:t>FUNDAMENTAÇÃO E DESCRIÇÃO DA NECESSIDADE DA CONTRATAÇÃO (art. 6º, inciso XXIII, alínea ‘b’ da Lei n. 14.133/2021).</w:t>
      </w:r>
    </w:p>
    <w:p>
      <w:pPr>
        <w:pStyle w:val="ListParagraph"/>
        <w:numPr>
          <w:ilvl w:val="1"/>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 fundamentação da contratação e seus quantitativos encontra-se pormenorizada em tópico específico dos Estudos Técnicos Preliminares, apêndice deste Termo de Referência.</w:t>
      </w:r>
    </w:p>
    <w:p>
      <w:pPr>
        <w:pStyle w:val="Nivel1"/>
        <w:numPr>
          <w:ilvl w:val="0"/>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DESCRIÇÃO DA SOLUÇÃO COMO UM TODO CONSIDERADO O CICLO DE VIDA DO OBJETO (art. 6º, inciso XXIII, alínea ‘c’, da Lei n. 14.133/2021).</w:t>
      </w:r>
    </w:p>
    <w:p>
      <w:pPr>
        <w:pStyle w:val="ListParagraph"/>
        <w:numPr>
          <w:ilvl w:val="1"/>
          <w:numId w:val="6"/>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 descrição da solução como um todo encontra-se pormenorizada em tópico específico dos Estudos Técnicos Preliminares, apêndice deste Termo de Referência.</w:t>
      </w:r>
    </w:p>
    <w:p>
      <w:pPr>
        <w:pStyle w:val="ListParagraph"/>
        <w:numPr>
          <w:ilvl w:val="1"/>
          <w:numId w:val="6"/>
        </w:numPr>
        <w:spacing w:lineRule="auto" w:line="276" w:before="0" w:after="170"/>
        <w:ind w:left="0" w:right="0" w:hanging="0"/>
        <w:contextualSpacing/>
        <w:jc w:val="both"/>
        <w:rPr>
          <w:rFonts w:cs="Arial"/>
          <w:sz w:val="24"/>
          <w:szCs w:val="24"/>
        </w:rPr>
      </w:pPr>
      <w:r>
        <w:rPr>
          <w:rFonts w:cs="Arial"/>
          <w:sz w:val="24"/>
          <w:szCs w:val="24"/>
        </w:rPr>
      </w:r>
    </w:p>
    <w:p>
      <w:pPr>
        <w:pStyle w:val="Nivel1"/>
        <w:numPr>
          <w:ilvl w:val="0"/>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REQUISITOS DA CONTRATAÇÃO (art. 6º, XXIII, alínea ‘d’ da Lei nº 14.133/21)</w:t>
      </w:r>
    </w:p>
    <w:p>
      <w:pPr>
        <w:pStyle w:val="ListParagraph"/>
        <w:spacing w:lineRule="auto" w:line="276" w:before="0" w:after="170"/>
        <w:ind w:left="0" w:right="0" w:hanging="0"/>
        <w:contextualSpacing/>
        <w:jc w:val="both"/>
        <w:rPr>
          <w:rFonts w:ascii="Times new roman" w:hAnsi="Times new roman" w:cs="Arial"/>
          <w:i w:val="false"/>
          <w:i w:val="false"/>
          <w:iCs w:val="false"/>
          <w:color w:val="000000"/>
          <w:sz w:val="24"/>
          <w:szCs w:val="24"/>
        </w:rPr>
      </w:pPr>
      <w:r>
        <w:rPr>
          <w:rFonts w:cs="Arial" w:ascii="Times new roman" w:hAnsi="Times new roman"/>
          <w:i w:val="false"/>
          <w:iCs w:val="false"/>
          <w:color w:val="000000"/>
          <w:sz w:val="24"/>
          <w:szCs w:val="24"/>
        </w:rPr>
      </w:r>
    </w:p>
    <w:p>
      <w:pPr>
        <w:pStyle w:val="ListParagraph"/>
        <w:numPr>
          <w:ilvl w:val="1"/>
          <w:numId w:val="7"/>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Além dos critérios de sustentabilidade eventualmente inseridos na descrição do objeto, devem ser atendidos os seguintes requisitos, que se baseiam no Guia Nacional de Contratações Sustentáveis:</w:t>
      </w:r>
    </w:p>
    <w:p>
      <w:pPr>
        <w:pStyle w:val="Ttulo2"/>
        <w:numPr>
          <w:ilvl w:val="1"/>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Além dos critérios de sustentabilidade eventualmente inseridos na descrição do objeto, devem ser atendidos os seguintes requisitos, que se baseiam no Guia Nacional de Contratações Sustentáveis:</w:t>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 Contratada deverá observar as diretrizes, critérios e procedimentos para a gestão dos resíduos da construção civil estabelecidos na Lei nº 12.305, de 2010 – Política Nacional de Resíduos Sólidos, artigos 3º e 10º da Resolução nº 307, de 05/07/2002, do Conselho Nacional de Meio Ambiente – CONAMA, e Instrução Normativa SLTI/MPOG n° 1, de 19/01/2010.</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Deverá ser utilizado agregados reciclados sempre que existir a oferta, capacidade de suprimento e custo inferior em relação aos agregados naturais.</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Deverá ser cumprido fielmente o PGRCC, sob pena de multa.</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Para efeitos de fiscalização, que todos os resíduos removidos deverão estar acompanhados de Controle de Transporte de Resíduos, em conformidade com as normas da Agência Brasileira de Normas Técnicas - ABNT, ABNT NBR nºs 15.112, 15.113, 15.114, 15.115 e 15.116, de 2004.</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os itens potencialmente poluentes como baterias, pilhas, venenos, pneus, óleos lubrificantes, lâmpadas e produtos eletroeletrônicos devem ser adquiridos de fornecedores que possuam sistema de logística reversa estabelecido, conforme dispõe o art. 33 da Lei nº 12.305.</w:t>
      </w:r>
    </w:p>
    <w:p>
      <w:pPr>
        <w:pStyle w:val="Ttulo3"/>
        <w:numPr>
          <w:ilvl w:val="2"/>
          <w:numId w:val="7"/>
        </w:numPr>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A Contratada deverá observar o Decreto nº 7.746/2012, que estabelece a adoção de critérios e práticas de sustentabilidade:</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Baixo impacto sobre recursos naturais como flora, fauna, ar, solo e água.</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Preferência para materiais, tecnologias e matérias-primas de origem local.</w:t>
      </w:r>
    </w:p>
    <w:p>
      <w:pPr>
        <w:pStyle w:val="Ttulo4"/>
        <w:widowControl w:val="false"/>
        <w:numPr>
          <w:ilvl w:val="3"/>
          <w:numId w:val="7"/>
        </w:numPr>
        <w:suppressAutoHyphens w:val="true"/>
        <w:bidi w:val="0"/>
        <w:spacing w:lineRule="auto" w:line="276" w:before="0" w:after="170"/>
        <w:ind w:left="0" w:right="0" w:hanging="0"/>
        <w:contextualSpacing/>
        <w:jc w:val="left"/>
        <w:outlineLvl w:val="3"/>
        <w:rPr>
          <w:color w:val="000000"/>
        </w:rPr>
      </w:pPr>
      <w:r>
        <w:rPr>
          <w:rFonts w:ascii="Times new roman" w:hAnsi="Times new roman"/>
          <w:i w:val="false"/>
          <w:iCs w:val="false"/>
          <w:color w:val="000000"/>
          <w:sz w:val="24"/>
          <w:szCs w:val="24"/>
          <w:u w:val="single"/>
        </w:rPr>
        <w:t>Maior eficiência na utilização de recursos naturais como água e energia;</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Maior geração de empregos, preferencialmente com mão de obra local;</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Maior vida útil e menor custo de manutenção do bem e da obra;</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Uso de inovações que reduzam a pressão sobre recursos naturais; e</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 xml:space="preserve">Origem sustentável dos recursos naturais utilizados nos bens, nos serviços e nas obras; </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Utilização de produtos florestais madeireiros e não madeireiros originários de manejo florestal sustentável ou de reflorestamento.</w:t>
      </w:r>
    </w:p>
    <w:p>
      <w:pPr>
        <w:pStyle w:val="Ttulo4"/>
        <w:widowControl w:val="false"/>
        <w:numPr>
          <w:ilvl w:val="3"/>
          <w:numId w:val="7"/>
        </w:numPr>
        <w:suppressAutoHyphens w:val="true"/>
        <w:spacing w:lineRule="auto" w:line="276" w:before="0" w:after="170"/>
        <w:ind w:left="0" w:right="0" w:hanging="0"/>
        <w:contextualSpacing/>
        <w:rPr>
          <w:color w:val="000000"/>
        </w:rPr>
      </w:pPr>
      <w:r>
        <w:rPr>
          <w:rFonts w:ascii="Times new roman" w:hAnsi="Times new roman"/>
          <w:i w:val="false"/>
          <w:iCs w:val="false"/>
          <w:color w:val="000000"/>
          <w:sz w:val="24"/>
          <w:szCs w:val="24"/>
          <w:u w:val="single"/>
        </w:rPr>
        <w:t>Aquisição de equipamentos de material renovável, reciclado, atóxico ou biodegradável, e que reduzam a necessidade de manutenção.</w:t>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Para os itens abaixo relacionados, cuja atividade de fabricação ou industrialização é enquadrada no Anexo I da Instrução Normativa IBAMA n° 13/2021, só será admitida a oferta de produto cujo fabricante esteja regularmente registrado no Cadastro Técnico Federal de Atividades Potencialmente Poluidoras ou Utilizadoras de Recursos Ambientais, instituído pelo artigo 17, inciso II, da Lei n° 6.938, de 1981:</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estruturas de madeira e de móveis</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veículos rodoviários e ferroviários, peças e acessórios</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aparelhos elétricos e eletrodomésticos</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material elétrico, eletrônico e equipamentos para telecomunicação e informática</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pilhas, baterias e outros acumuladores</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papel, papelão, cartolina, cartão</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preparados para limpeza e polimento, desinfetantes, inseticidas, germicidas e fungicidas</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sabões, detergentes e velas</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tintas, esmaltes, lacas, vernizes, impermeabilizantes, solventes e secantes</w:t>
      </w:r>
    </w:p>
    <w:p>
      <w:pPr>
        <w:pStyle w:val="Normal"/>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fertilizantes e agroquímicos</w:t>
      </w:r>
    </w:p>
    <w:p>
      <w:pPr>
        <w:pStyle w:val="Normal"/>
        <w:numPr>
          <w:ilvl w:val="0"/>
          <w:numId w:val="0"/>
        </w:numPr>
        <w:spacing w:lineRule="auto" w:line="276" w:before="0" w:after="170"/>
        <w:ind w:left="0" w:right="0" w:hanging="0"/>
        <w:contextualSpacing/>
        <w:rPr>
          <w:rFonts w:ascii="Times new roman" w:hAnsi="Times new roman"/>
          <w:i w:val="false"/>
          <w:i w:val="false"/>
          <w:iCs w:val="false"/>
          <w:color w:val="000000"/>
          <w:sz w:val="24"/>
          <w:szCs w:val="24"/>
          <w:u w:val="single"/>
        </w:rPr>
      </w:pPr>
      <w:r>
        <w:rPr>
          <w:rFonts w:ascii="Times new roman" w:hAnsi="Times new roman"/>
          <w:i w:val="false"/>
          <w:iCs w:val="false"/>
          <w:color w:val="000000"/>
          <w:sz w:val="24"/>
          <w:szCs w:val="24"/>
          <w:u w:val="single"/>
        </w:rPr>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 Contratada deverá utilizar somente matéria-prima florestal procedente, nos termos do artigo 11 do Decreto n° 5.975, de 2006, de:</w:t>
      </w:r>
    </w:p>
    <w:p>
      <w:pPr>
        <w:pStyle w:val="Ttulo5"/>
        <w:numPr>
          <w:ilvl w:val="4"/>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manejo florestal, realizado por meio de Plano de Manejo Florestal Sustentável - PMFS devidamente aprovado pelo órgão competente do Sistema Nacional do Meio Ambiente – SISNAMA;</w:t>
      </w:r>
    </w:p>
    <w:p>
      <w:pPr>
        <w:pStyle w:val="Ttulo5"/>
        <w:numPr>
          <w:ilvl w:val="4"/>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supressão da vegetação natural, devidamente autorizada pelo órgão competente do Sistema Nacional do Meio Ambiente – SISNAMA;</w:t>
      </w:r>
    </w:p>
    <w:p>
      <w:pPr>
        <w:pStyle w:val="Ttulo5"/>
        <w:numPr>
          <w:ilvl w:val="4"/>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florestas plantadas; e</w:t>
      </w:r>
    </w:p>
    <w:p>
      <w:pPr>
        <w:pStyle w:val="Ttulo5"/>
        <w:numPr>
          <w:ilvl w:val="4"/>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outras fontes de biomassa florestal, definidas em normas específicas do órgão ambiental competente.</w:t>
      </w:r>
    </w:p>
    <w:p>
      <w:pPr>
        <w:pStyle w:val="Normal"/>
        <w:numPr>
          <w:ilvl w:val="0"/>
          <w:numId w:val="0"/>
        </w:numPr>
        <w:spacing w:lineRule="auto" w:line="276" w:before="0" w:after="170"/>
        <w:ind w:left="0" w:right="0" w:hanging="0"/>
        <w:contextualSpacing/>
        <w:rPr>
          <w:rFonts w:ascii="Times new roman" w:hAnsi="Times new roman"/>
          <w:i w:val="false"/>
          <w:i w:val="false"/>
          <w:iCs w:val="false"/>
          <w:color w:val="000000"/>
          <w:sz w:val="24"/>
          <w:szCs w:val="24"/>
          <w:u w:val="single"/>
        </w:rPr>
      </w:pPr>
      <w:r>
        <w:rPr>
          <w:rFonts w:ascii="Times new roman" w:hAnsi="Times new roman"/>
          <w:i w:val="false"/>
          <w:iCs w:val="false"/>
          <w:color w:val="000000"/>
          <w:sz w:val="24"/>
          <w:szCs w:val="24"/>
          <w:u w:val="single"/>
        </w:rPr>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 Contratada deverá comprovar a procedência legal dos produtos ou subprodutos florestais utilizados em cada etapa da execução contratual, por ocasião da respectiva medição, mediante a apresentação dos seguintes documentos, conforme o caso:</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Cópias autenticadas das notas fiscais de aquisição dos produtos ou subprodutos florestais;</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Comprovantes de registro regular do fornecedor (comércio atacadista ou varejista) e do transportador dos produtos ou subprodutos florestais no Cadastro Técnico Federal de Atividades Potencialmente Poluidoras ou Utilizadoras de Recursos Ambientais – CTF/APP, mantido pelo IBAMA, quando tal inscrição for obrigatória, por meio da apresentação dos respectivos Certificados de Regularidade válidos, nos termos da Instrução Normativa IBAMA n° 13/2021 e legislação correlata;</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 apresentação do Certificado de Regularidade será dispensada, caso o Gestor/Fiscal do contrato logre êxito em obtê-lo mediante consulta online ao sítio oficial do IBAMA, anexando-o ao processo.</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Cópia dos Comprovantes do Documento de Origem Florestal ou de autorização no Sistema Nacional de Controle da Origem dos Produtos Florestais – Sinaflor;</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Caso os produtos ou subprodutos florestais utilizados na execução contratual tenham origem em Estado que possua documento de controle próprio, a Contratada deverá apresentá-lo, em complementação ao DOF/Sinaflor, para fins de demonstrar a regularidade do transporte e armazenamento nos limites do território estadual.</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Caso os produtos ou subprodutos florestais sejam exóticos/não-nativos (p. ex. eucalipto, pinus, teca), e caso o estado da federação não exija esse documento mesmo em se tratando de espécie exótica, a Contratada deverá apresentar declaração de que é isenta de DOF, por não se tratar de madeira nativa.</w:t>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 Contratada deverá observar que os bens fornecidos estejam classificados com classe de eficiência "A" na Etiqueta Nacional de Conservação de Energia (ENCE) vigente no período da aquisição.</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quando não existir, no período de aquisição, um mínimo de três fornecedores com modelos etiquetados com a ENCE classe "A" para a sua categoria, serão admitidos produtos etiquetados com as ENCEs nas duas classes mais eficientes que possuam um mínimo de três fornecedores com modelos etiquetados, admitida a complementação de números de fornecedores de uma classe com a de outra.</w:t>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 Contratada deverá priorizar que os bens sejam, preferencialmente, acondicionados em embalagens de maior volume, se possível a granel, e que as embalagens utilizem materiais recicláveis.</w:t>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 Contratada deverá observar que os bens fornecidos estejam classificados com classe de eficiência "A" na Etiqueta Nacional de Conservação de Energia (ENCE) vigente no período da aquisição.</w:t>
      </w:r>
    </w:p>
    <w:p>
      <w:pPr>
        <w:pStyle w:val="Normal"/>
        <w:spacing w:lineRule="auto" w:line="276" w:before="0" w:after="170"/>
        <w:ind w:left="0" w:right="0" w:hanging="0"/>
        <w:contextualSpacing/>
        <w:rPr>
          <w:rFonts w:ascii="Times new roman" w:hAnsi="Times new roman"/>
          <w:i w:val="false"/>
          <w:i w:val="false"/>
          <w:iCs w:val="false"/>
          <w:color w:val="000000"/>
          <w:sz w:val="24"/>
          <w:szCs w:val="24"/>
        </w:rPr>
      </w:pPr>
      <w:r>
        <w:rPr>
          <w:rFonts w:ascii="Times new roman" w:hAnsi="Times new roman"/>
          <w:i w:val="false"/>
          <w:iCs w:val="false"/>
          <w:color w:val="000000"/>
          <w:sz w:val="24"/>
          <w:szCs w:val="24"/>
        </w:rPr>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O projeto observa os parâmetros técnicos de Acessibilidade:</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o objeto está de acordo com o desenho universal, que visa atender à maior gama de variações possíveis das características antropométricas e sensoriais da população;</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está adequado aos padrões de acessibilidade constantes da Lei nº 10.098, de 2000, da Lei nº 13.146, de 2015, do Decreto nº 5.296/2004 e da NBR 9050/ABNT, bem como sinalização em braille e em formatos de fácil leitura e compreensão nos termos do Decreto nº 6.949, de 2009.</w:t>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O projeto observa o Decreto nº 7.746/2012, que estabelece a adoção de critérios e práticas de sustentabilidade de maior vida útil e menor custo de manutenção do bem e da obra:</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Conforme a Instrução Normativa SLTI-MPOG nº 01, de 19 de janeiro de 2010, uso de equipamentos de climatização mecânica, ou de novas tecnologias de resfriamento do ar, que utilizem energia elétrica, apenas nos ambientes aonde for indispensável.</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Conforme a Instrução Normativa SLTI-MPOG nº 01, de 19 de janeiro de 2010, automação da iluminação do prédio, projeto de iluminação, interruptores, iluminação ambiental, iluminação tarefa, uso de sensores de presença.</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Conforme a Instrução Normativa SLTI-MPOG nº 01, de 19 de janeiro de 2010,</w:t>
      </w:r>
      <w:r>
        <w:rPr>
          <w:rFonts w:cs="Tahoma" w:ascii="Times new roman" w:hAnsi="Times new roman"/>
          <w:bCs w:val="false"/>
          <w:i w:val="false"/>
          <w:iCs w:val="false"/>
          <w:color w:val="000000"/>
          <w:sz w:val="24"/>
          <w:szCs w:val="24"/>
          <w:u w:val="single"/>
        </w:rPr>
        <w:t xml:space="preserve"> </w:t>
      </w:r>
      <w:r>
        <w:rPr>
          <w:rFonts w:ascii="Times new roman" w:hAnsi="Times new roman"/>
          <w:i w:val="false"/>
          <w:iCs w:val="false"/>
          <w:color w:val="000000"/>
          <w:sz w:val="24"/>
          <w:szCs w:val="24"/>
          <w:u w:val="single"/>
        </w:rPr>
        <w:t>uso exclusivo de lâmpadas fluorescentes compactas ou tubulares de alto rendimento e de luminárias eficientes.</w:t>
      </w:r>
    </w:p>
    <w:p>
      <w:pPr>
        <w:pStyle w:val="Ttulo5"/>
        <w:numPr>
          <w:ilvl w:val="4"/>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 contratada deverá providenciar o recolhimento e o adequado descarte das lâmpadas fluorescentes de Vapor de Sódio e Mercúrio e de Luz Mista originárias da contratação, recolhendo-as ao sistema de coleta montado pelo respectivo fabricante, distribuidor, importador, comerciante ou revendedor, para fins de sua destinação final ambientalmente adequada, conforme artigo 33, inciso V, da Lei n° 12.305, de 2010 – Política Nacional de Resíduos Sólidos, art. 14 do Decreto nº 10.936/2022, e legislação correlata.</w:t>
      </w:r>
    </w:p>
    <w:p>
      <w:pPr>
        <w:pStyle w:val="Ttulo5"/>
        <w:numPr>
          <w:ilvl w:val="4"/>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Só será admitida a oferta de lâmpada fluorescente compacta com reator integrado à base que possua a Etiqueta Nacional de Conservação de Energia – ENCE, nos termos da Portaria INMETRO n° 69, de 16 de fevereiro de 2022, que aprova os Requisitos de Avaliação da Conformidade – RAC do produto e trata da etiquetagem compulsória.</w:t>
      </w:r>
    </w:p>
    <w:p>
      <w:pPr>
        <w:pStyle w:val="Ttulo5"/>
        <w:numPr>
          <w:ilvl w:val="4"/>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Para a lâmpada de LED com dispositivo de controle integrado à base, cabe registro no INMETRO, considerando a Portaria n° 258, de 6 de agosto de 2020, ou substitutiva, bem como a apresentação de Selo de identificação da conformidade nos termos da Portaria n° 69, de 16 de fevereiro de 2022.</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Conforme a Instrução Normativa SLTI-MPOG nº 01, de 19 de janeiro de 2010, energia solar, ou outra energia limpa para aquecimento de água.</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Conforme a Instrução Normativa SLTI-MPOG nº 01, de 19 de janeiro de 2010,</w:t>
      </w:r>
      <w:r>
        <w:rPr>
          <w:rFonts w:cs="Tahoma" w:ascii="Times new roman" w:hAnsi="Times new roman"/>
          <w:bCs w:val="false"/>
          <w:i w:val="false"/>
          <w:iCs w:val="false"/>
          <w:color w:val="000000"/>
          <w:sz w:val="24"/>
          <w:szCs w:val="24"/>
          <w:u w:val="single"/>
        </w:rPr>
        <w:t xml:space="preserve"> </w:t>
      </w:r>
      <w:r>
        <w:rPr>
          <w:rFonts w:ascii="Times new roman" w:hAnsi="Times new roman"/>
          <w:i w:val="false"/>
          <w:iCs w:val="false"/>
          <w:color w:val="000000"/>
          <w:sz w:val="24"/>
          <w:szCs w:val="24"/>
          <w:u w:val="single"/>
        </w:rPr>
        <w:t>sistema de medição individualizado de consumo de água e energia.</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Conforme a Instrução Normativa SLTI-MPOG nº 01, de 19 de janeiro de 2010, sistema de reuso de água e de tratamento de efluentes gerados.</w:t>
      </w:r>
    </w:p>
    <w:p>
      <w:pPr>
        <w:pStyle w:val="Ttulo4"/>
        <w:widowControl w:val="false"/>
        <w:numPr>
          <w:ilvl w:val="3"/>
          <w:numId w:val="7"/>
        </w:numPr>
        <w:suppressAutoHyphens w:val="true"/>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Conforme a Instrução Normativa SLTI-MPOG nº 01, de 19 de janeiro de 2010, aproveitamento da água da chuva, agregando ao sistema hidráulico elementos que possibilitem a captação, transporte, armazenamento e seu aproveitamento.</w:t>
      </w:r>
    </w:p>
    <w:p>
      <w:pPr>
        <w:pStyle w:val="Ttulo4"/>
        <w:widowControl w:val="false"/>
        <w:numPr>
          <w:ilvl w:val="3"/>
          <w:numId w:val="7"/>
        </w:numPr>
        <w:suppressAutoHyphens w:val="true"/>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u w:val="single"/>
        </w:rPr>
        <w:t>Apresenta solução de energia limpa, com aplicação de placas fotovoltaicas para economia de recursos públicos.</w:t>
      </w:r>
    </w:p>
    <w:p>
      <w:pPr>
        <w:pStyle w:val="Ttulododocumento"/>
        <w:spacing w:lineRule="auto" w:line="276" w:before="0" w:after="170"/>
        <w:ind w:left="0" w:right="0" w:hanging="0"/>
        <w:contextualSpacing/>
        <w:rPr/>
      </w:pPr>
      <w:bookmarkStart w:id="0" w:name="_Toc132103334"/>
      <w:r>
        <w:rPr>
          <w:rStyle w:val="Nivel1Char"/>
          <w:rFonts w:ascii="Times new roman" w:hAnsi="Times new roman"/>
          <w:b w:val="false"/>
          <w:bCs w:val="false"/>
          <w:i w:val="false"/>
          <w:iCs w:val="false"/>
          <w:color w:val="000000"/>
          <w:sz w:val="24"/>
          <w:szCs w:val="24"/>
        </w:rPr>
        <w:t>Indicação de marcas ou modelos (41, inciso I, da Lei nº 14.133, de 2021)</w:t>
      </w:r>
      <w:bookmarkEnd w:id="0"/>
    </w:p>
    <w:p>
      <w:pPr>
        <w:pStyle w:val="Ttulo2"/>
        <w:widowControl w:val="false"/>
        <w:numPr>
          <w:ilvl w:val="1"/>
          <w:numId w:val="7"/>
        </w:numPr>
        <w:suppressAutoHyphens w:val="true"/>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u w:val="single"/>
        </w:rPr>
        <w:t>Na presente contratação há a indicação de marcas, características ou modelos nas Especificações Técnicas, anexas a este Termo de Referência, sendo permitida a apresentação de produtos/materiais similares.</w:t>
      </w:r>
    </w:p>
    <w:p>
      <w:pPr>
        <w:pStyle w:val="Ttulododocumento"/>
        <w:widowControl w:val="false"/>
        <w:suppressAutoHyphens w:val="true"/>
        <w:spacing w:lineRule="auto" w:line="276" w:before="0" w:after="170"/>
        <w:ind w:left="0" w:right="0" w:hanging="0"/>
        <w:contextualSpacing/>
        <w:jc w:val="both"/>
        <w:rPr/>
      </w:pPr>
      <w:r>
        <w:rPr>
          <w:rStyle w:val="BookTitle"/>
          <w:rFonts w:cs="Arial" w:ascii="Times new roman" w:hAnsi="Times new roman"/>
          <w:b w:val="false"/>
          <w:bCs w:val="false"/>
          <w:i w:val="false"/>
          <w:iCs w:val="false"/>
          <w:color w:val="000000"/>
          <w:sz w:val="24"/>
          <w:szCs w:val="24"/>
          <w:u w:val="none"/>
        </w:rPr>
        <w:t>Subcontratação</w:t>
      </w:r>
    </w:p>
    <w:p>
      <w:pPr>
        <w:pStyle w:val="Ttulo4"/>
        <w:widowControl w:val="false"/>
        <w:numPr>
          <w:ilvl w:val="3"/>
          <w:numId w:val="7"/>
        </w:numPr>
        <w:suppressAutoHyphens w:val="true"/>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É permitida a subcontratação parcial do objeto, até o limite de </w:t>
      </w:r>
      <w:r>
        <w:rPr>
          <w:rFonts w:cs="Arial" w:ascii="Times new roman" w:hAnsi="Times new roman"/>
          <w:i w:val="false"/>
          <w:iCs w:val="false"/>
          <w:color w:val="000000"/>
          <w:sz w:val="24"/>
          <w:szCs w:val="24"/>
          <w:u w:val="single"/>
        </w:rPr>
        <w:t>30% (trinta por cento)</w:t>
      </w:r>
      <w:r>
        <w:rPr>
          <w:rFonts w:cs="Arial" w:ascii="Times new roman" w:hAnsi="Times new roman"/>
          <w:i w:val="false"/>
          <w:iCs w:val="false"/>
          <w:color w:val="000000"/>
          <w:sz w:val="24"/>
          <w:szCs w:val="24"/>
        </w:rPr>
        <w:t xml:space="preserve"> do valor total do contrato, nas seguintes condições:</w:t>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 xml:space="preserve">Serviços técnico-profissionais especializados; </w:t>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Serviços ou fornecimento de materiais/equipamentos cuja instalação depende de mão de obra especializada; e</w:t>
      </w:r>
    </w:p>
    <w:p>
      <w:pPr>
        <w:pStyle w:val="Ttulo3"/>
        <w:numPr>
          <w:ilvl w:val="2"/>
          <w:numId w:val="7"/>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Fornecimento de mão de obra especializada.</w:t>
      </w:r>
      <w:bookmarkStart w:id="1" w:name="_Hlk133223548"/>
      <w:bookmarkEnd w:id="1"/>
    </w:p>
    <w:p>
      <w:pPr>
        <w:pStyle w:val="Ttulo3"/>
        <w:widowControl w:val="false"/>
        <w:numPr>
          <w:ilvl w:val="2"/>
          <w:numId w:val="7"/>
        </w:numPr>
        <w:suppressAutoHyphens w:val="true"/>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 subcontratação fica limitada</w:t>
      </w:r>
      <w:r>
        <w:rPr>
          <w:rFonts w:cs="Arial" w:ascii="Times new roman" w:hAnsi="Times new roman"/>
          <w:i w:val="false"/>
          <w:iCs w:val="false"/>
          <w:color w:val="000000"/>
          <w:sz w:val="24"/>
          <w:szCs w:val="24"/>
          <w:u w:val="single"/>
        </w:rPr>
        <w:t xml:space="preserve"> ao percentual de 30% (trinta por cento). </w:t>
      </w:r>
      <w:r>
        <w:rPr>
          <w:rFonts w:cs="Arial" w:ascii="Times new roman" w:hAnsi="Times new roman"/>
          <w:i w:val="false"/>
          <w:iCs w:val="false"/>
          <w:color w:val="000000"/>
          <w:sz w:val="24"/>
          <w:szCs w:val="24"/>
        </w:rPr>
        <w:t xml:space="preserve"> </w:t>
      </w:r>
    </w:p>
    <w:p>
      <w:pPr>
        <w:pStyle w:val="ListParagraph"/>
        <w:numPr>
          <w:ilvl w:val="2"/>
          <w:numId w:val="10"/>
        </w:numPr>
        <w:spacing w:lineRule="auto" w:line="276" w:before="0" w:after="170"/>
        <w:ind w:left="0" w:right="0" w:hanging="0"/>
        <w:contextualSpacing/>
        <w:jc w:val="both"/>
        <w:rPr/>
      </w:pPr>
      <w:r>
        <w:rPr>
          <w:rFonts w:cs="Arial" w:ascii="Times new roman" w:hAnsi="Times new roman"/>
          <w:i w:val="false"/>
          <w:iCs w:val="false"/>
          <w:color w:val="000000"/>
          <w:sz w:val="24"/>
          <w:szCs w:val="24"/>
        </w:rPr>
        <w:t>. A subcontratação depende de autorização prévia da Contratante, a quem incumbe avaliar se a subcontratada cumpre os requisitos de qualificação técnica necessários para a execução do objeto.</w:t>
      </w:r>
    </w:p>
    <w:p>
      <w:pPr>
        <w:pStyle w:val="ListParagraph"/>
        <w:spacing w:lineRule="auto" w:line="276" w:before="0" w:after="170"/>
        <w:ind w:left="0" w:right="0" w:hanging="0"/>
        <w:contextualSpacing/>
        <w:jc w:val="both"/>
        <w:rPr>
          <w:rFonts w:ascii="Times new roman" w:hAnsi="Times new roman" w:cs="Arial"/>
          <w:i w:val="false"/>
          <w:i w:val="false"/>
          <w:iCs w:val="false"/>
          <w:color w:val="000000"/>
          <w:sz w:val="24"/>
          <w:szCs w:val="24"/>
        </w:rPr>
      </w:pPr>
      <w:r>
        <w:rPr>
          <w:rFonts w:cs="Arial" w:ascii="Times new roman" w:hAnsi="Times new roman"/>
          <w:i w:val="false"/>
          <w:iCs w:val="false"/>
          <w:color w:val="000000"/>
          <w:sz w:val="24"/>
          <w:szCs w:val="24"/>
        </w:rPr>
      </w:r>
    </w:p>
    <w:p>
      <w:pPr>
        <w:pStyle w:val="ListParagraph"/>
        <w:numPr>
          <w:ilvl w:val="2"/>
          <w:numId w:val="1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pPr>
        <w:pStyle w:val="Ttulododocumento"/>
        <w:numPr>
          <w:ilvl w:val="1"/>
          <w:numId w:val="10"/>
        </w:numPr>
        <w:spacing w:lineRule="auto" w:line="276" w:before="0" w:after="170"/>
        <w:ind w:left="0" w:right="0" w:hanging="0"/>
        <w:contextualSpacing/>
        <w:jc w:val="both"/>
        <w:rPr/>
      </w:pPr>
      <w:commentRangeStart w:id="0"/>
      <w:r>
        <w:rPr>
          <w:rStyle w:val="BookTitle"/>
          <w:rFonts w:cs="Arial" w:ascii="Times new roman" w:hAnsi="Times new roman"/>
          <w:b/>
          <w:i w:val="false"/>
          <w:iCs w:val="false"/>
          <w:color w:val="000000"/>
          <w:sz w:val="24"/>
          <w:szCs w:val="24"/>
        </w:rPr>
        <w:t>Garantia da contratação</w:t>
      </w:r>
      <w:bookmarkStart w:id="2" w:name="_Toc132103337"/>
      <w:bookmarkEnd w:id="2"/>
      <w:commentRangeEnd w:id="0"/>
      <w:r>
        <w:commentReference w:id="0"/>
      </w:r>
      <w:r>
        <w:rPr>
          <w:rStyle w:val="BookTitle"/>
          <w:rFonts w:cs="Arial" w:ascii="Times new roman" w:hAnsi="Times new roman"/>
          <w:b/>
          <w:i w:val="false"/>
          <w:iCs w:val="false"/>
          <w:color w:val="000000"/>
          <w:sz w:val="24"/>
          <w:szCs w:val="24"/>
        </w:rPr>
      </w:r>
    </w:p>
    <w:p>
      <w:pPr>
        <w:pStyle w:val="Ttulo2"/>
        <w:numPr>
          <w:ilvl w:val="1"/>
          <w:numId w:val="11"/>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 xml:space="preserve">Será exigida a garantia da contratação de que tratam os arts. 96 e seguintes da Lei nº 14.133, de 2021, no </w:t>
      </w:r>
      <w:r>
        <w:rPr>
          <w:rFonts w:ascii="Times new roman" w:hAnsi="Times new roman"/>
          <w:i w:val="false"/>
          <w:iCs w:val="false"/>
          <w:color w:val="000000"/>
          <w:sz w:val="24"/>
          <w:szCs w:val="24"/>
          <w:u w:val="single"/>
        </w:rPr>
        <w:t>percentual de 5% (cinco por cento)</w:t>
      </w:r>
      <w:r>
        <w:rPr>
          <w:rFonts w:ascii="Times new roman" w:hAnsi="Times new roman"/>
          <w:i w:val="false"/>
          <w:iCs w:val="false"/>
          <w:color w:val="000000"/>
          <w:sz w:val="24"/>
          <w:szCs w:val="24"/>
        </w:rPr>
        <w:t xml:space="preserve"> do valor contratual, conforme regras previstas no contrato.</w:t>
      </w:r>
    </w:p>
    <w:p>
      <w:pPr>
        <w:pStyle w:val="Ttulo2"/>
        <w:numPr>
          <w:ilvl w:val="1"/>
          <w:numId w:val="11"/>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 xml:space="preserve">A garantia nas modalidades caução e fiança bancária deverá ser prestada em até </w:t>
      </w:r>
      <w:r>
        <w:rPr>
          <w:rFonts w:ascii="Times new roman" w:hAnsi="Times new roman"/>
          <w:i w:val="false"/>
          <w:iCs w:val="false"/>
          <w:color w:val="000000"/>
          <w:sz w:val="24"/>
          <w:szCs w:val="24"/>
          <w:u w:val="single"/>
        </w:rPr>
        <w:t>10 (dez) dias úteis</w:t>
      </w:r>
      <w:r>
        <w:rPr>
          <w:rFonts w:ascii="Times new roman" w:hAnsi="Times new roman"/>
          <w:i w:val="false"/>
          <w:iCs w:val="false"/>
          <w:color w:val="000000"/>
          <w:sz w:val="24"/>
          <w:szCs w:val="24"/>
        </w:rPr>
        <w:t xml:space="preserve"> após a assinatura do contrato.</w:t>
      </w:r>
    </w:p>
    <w:p>
      <w:pPr>
        <w:pStyle w:val="Ttulo2"/>
        <w:numPr>
          <w:ilvl w:val="1"/>
          <w:numId w:val="11"/>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No caso de seguro-garantia sua apresentação deverá ocorrer, no máximo, até a data de assinatura do contrato.</w:t>
      </w:r>
    </w:p>
    <w:p>
      <w:pPr>
        <w:pStyle w:val="Ttulo2"/>
        <w:numPr>
          <w:ilvl w:val="1"/>
          <w:numId w:val="11"/>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 contrato oferece maior detalhamento das regras que serão aplicadas em relação à garantia da contratação.</w:t>
      </w:r>
    </w:p>
    <w:p>
      <w:pPr>
        <w:pStyle w:val="ListParagraph"/>
        <w:numPr>
          <w:ilvl w:val="1"/>
          <w:numId w:val="11"/>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 Contratado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pPr>
        <w:pStyle w:val="Nivel1"/>
        <w:numPr>
          <w:ilvl w:val="0"/>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VISTORIA</w:t>
      </w:r>
    </w:p>
    <w:p>
      <w:pPr>
        <w:pStyle w:val="ListParagraph"/>
        <w:numPr>
          <w:ilvl w:val="1"/>
          <w:numId w:val="8"/>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w:t>
      </w:r>
      <w:r>
        <w:rPr>
          <w:rFonts w:ascii="Times new roman" w:hAnsi="Times new roman"/>
          <w:i w:val="false"/>
          <w:iCs w:val="false"/>
          <w:color w:val="000000"/>
          <w:sz w:val="24"/>
          <w:szCs w:val="24"/>
        </w:rPr>
        <w:t xml:space="preserve"> </w:t>
      </w:r>
      <w:r>
        <w:rPr>
          <w:rFonts w:cs="Arial" w:ascii="Times new roman" w:hAnsi="Times new roman"/>
          <w:i w:val="false"/>
          <w:iCs w:val="false"/>
          <w:color w:val="000000"/>
          <w:sz w:val="24"/>
          <w:szCs w:val="24"/>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w:t>
      </w:r>
    </w:p>
    <w:p>
      <w:pPr>
        <w:pStyle w:val="Ttulo2"/>
        <w:numPr>
          <w:ilvl w:val="1"/>
          <w:numId w:val="8"/>
        </w:numPr>
        <w:spacing w:lineRule="auto" w:line="276" w:before="0" w:after="170"/>
        <w:ind w:left="0" w:right="0" w:hanging="0"/>
        <w:contextualSpacing/>
        <w:jc w:val="both"/>
        <w:rPr>
          <w:sz w:val="24"/>
          <w:szCs w:val="24"/>
        </w:rPr>
      </w:pPr>
      <w:r>
        <w:rPr>
          <w:rFonts w:cs="Calibri" w:ascii="Times new roman" w:hAnsi="Times new roman" w:cstheme="minorHAnsi"/>
          <w:i w:val="false"/>
          <w:iCs w:val="false"/>
          <w:color w:val="000000"/>
          <w:sz w:val="24"/>
          <w:szCs w:val="24"/>
          <w:u w:val="single"/>
        </w:rPr>
        <w:t>Para isso, os Licitantes deverão agendar com a Seção de Aquisições, Licitações e Contratos (SALC) do(a) Parque Regional de Manutenção 5, em dias úteis nos seguintes horários: de segunda à quinta-feira, das 08h00 às 12h00 e das 14h00 às 17h00; nas sextas-feiras, das 08h00 às 12h00, através do telefone (41) 98532-4536.</w:t>
      </w:r>
    </w:p>
    <w:p>
      <w:pPr>
        <w:pStyle w:val="ListParagraph"/>
        <w:numPr>
          <w:ilvl w:val="1"/>
          <w:numId w:val="8"/>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Serão disponibilizados data e horário diferentes aos interessados em realizar a vistoria prévia. </w:t>
      </w:r>
    </w:p>
    <w:p>
      <w:pPr>
        <w:pStyle w:val="ListParagraph"/>
        <w:numPr>
          <w:ilvl w:val="2"/>
          <w:numId w:val="8"/>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Para a vistoria, o representante legal da empresa ou responsável técnico deverá estar devidamente identificado, apresentando documento de identidade civil e documento expedido pela empresa comprovando sua habilitação para a realização da vistoria.</w:t>
      </w:r>
    </w:p>
    <w:p>
      <w:pPr>
        <w:pStyle w:val="Ttulo3"/>
        <w:numPr>
          <w:ilvl w:val="2"/>
          <w:numId w:val="8"/>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u w:val="single"/>
        </w:rPr>
        <w:t>Os aspectos que os Licitantes julgarem duvidosos, dando margem à dupla interpretação, ou omissos neste Termo de Referência deverão ser apresentados à Contratante, por meio de documento escrito, para serem elucidados antes da Licitação.</w:t>
      </w:r>
    </w:p>
    <w:p>
      <w:pPr>
        <w:pStyle w:val="ListParagraph"/>
        <w:spacing w:lineRule="auto" w:line="276" w:before="0" w:after="170"/>
        <w:ind w:left="0" w:right="0" w:hanging="0"/>
        <w:contextualSpacing/>
        <w:jc w:val="both"/>
        <w:rPr>
          <w:rFonts w:ascii="Times new roman" w:hAnsi="Times new roman" w:cs="Arial"/>
          <w:i w:val="false"/>
          <w:i w:val="false"/>
          <w:iCs w:val="false"/>
          <w:color w:val="000000"/>
          <w:sz w:val="24"/>
          <w:szCs w:val="24"/>
        </w:rPr>
      </w:pPr>
      <w:r>
        <w:rPr>
          <w:rFonts w:cs="Arial" w:ascii="Times new roman" w:hAnsi="Times new roman"/>
          <w:i w:val="false"/>
          <w:iCs w:val="false"/>
          <w:color w:val="000000"/>
          <w:sz w:val="24"/>
          <w:szCs w:val="24"/>
        </w:rPr>
      </w:r>
    </w:p>
    <w:p>
      <w:pPr>
        <w:pStyle w:val="ListParagraph"/>
        <w:numPr>
          <w:ilvl w:val="2"/>
          <w:numId w:val="8"/>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pPr>
        <w:pStyle w:val="Nivel1"/>
        <w:numPr>
          <w:ilvl w:val="0"/>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MODELO DE EXECUÇÃO CONTRATUAL (arts. 6º, XXIII, alínea “e” da Lei nº 14.133/2021).</w:t>
      </w:r>
    </w:p>
    <w:p>
      <w:pPr>
        <w:pStyle w:val="Ttulododocumento"/>
        <w:spacing w:lineRule="auto" w:line="276" w:before="0" w:after="170"/>
        <w:ind w:left="0" w:right="0" w:hanging="0"/>
        <w:contextualSpacing/>
        <w:rPr/>
      </w:pPr>
      <w:r>
        <w:rPr>
          <w:rStyle w:val="BookTitle"/>
          <w:rFonts w:ascii="Times new roman" w:hAnsi="Times new roman"/>
          <w:b/>
          <w:i w:val="false"/>
          <w:iCs w:val="false"/>
          <w:color w:val="000000"/>
          <w:sz w:val="24"/>
          <w:szCs w:val="24"/>
        </w:rPr>
        <w:t>Condições de Execução</w:t>
      </w:r>
    </w:p>
    <w:p>
      <w:pPr>
        <w:pStyle w:val="Ttulo2"/>
        <w:numPr>
          <w:ilvl w:val="1"/>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A execução do objeto seguirá a seguinte dinâmica:</w:t>
      </w:r>
    </w:p>
    <w:p>
      <w:pPr>
        <w:pStyle w:val="Ttulo3"/>
        <w:numPr>
          <w:ilvl w:val="2"/>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 xml:space="preserve">Início da execução do objeto: </w:t>
      </w:r>
      <w:r>
        <w:rPr>
          <w:rFonts w:ascii="Times new roman" w:hAnsi="Times new roman"/>
          <w:i w:val="false"/>
          <w:iCs w:val="false"/>
          <w:color w:val="000000"/>
          <w:sz w:val="24"/>
          <w:szCs w:val="24"/>
          <w:u w:val="single"/>
        </w:rPr>
        <w:t>em até 7 (sete) dias da emissão da ordem de serviço</w:t>
      </w:r>
      <w:r>
        <w:rPr>
          <w:rFonts w:ascii="Times new roman" w:hAnsi="Times new roman"/>
          <w:i w:val="false"/>
          <w:iCs w:val="false"/>
          <w:color w:val="000000"/>
          <w:sz w:val="24"/>
          <w:szCs w:val="24"/>
        </w:rPr>
        <w:t>;</w:t>
      </w:r>
    </w:p>
    <w:p>
      <w:pPr>
        <w:pStyle w:val="Ttulo3"/>
        <w:numPr>
          <w:ilvl w:val="2"/>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Os métodos, rotinas, etapas, tecnologias procedimentos, frequência e periodicidade de execução do trabalho são apresentados nos anexos deste Termo de Referência e serão abordados na primeira reunião com a Contratada</w:t>
      </w:r>
      <w:r>
        <w:rPr>
          <w:rFonts w:ascii="Times new roman" w:hAnsi="Times new roman"/>
          <w:i w:val="false"/>
          <w:iCs w:val="false"/>
          <w:color w:val="000000"/>
          <w:sz w:val="24"/>
          <w:szCs w:val="24"/>
        </w:rPr>
        <w:t>.</w:t>
      </w:r>
    </w:p>
    <w:p>
      <w:pPr>
        <w:pStyle w:val="Ttulo3"/>
        <w:numPr>
          <w:ilvl w:val="2"/>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 xml:space="preserve">Local e horário da prestação de serviço: </w:t>
      </w:r>
      <w:r>
        <w:rPr>
          <w:rFonts w:ascii="Times new roman" w:hAnsi="Times new roman"/>
          <w:i w:val="false"/>
          <w:iCs w:val="false"/>
          <w:color w:val="000000"/>
          <w:sz w:val="24"/>
          <w:szCs w:val="24"/>
          <w:u w:val="single"/>
        </w:rPr>
        <w:t>Os serviços serão prestados em horário comercial em dias úteis. Entretanto, poderá ser solicitado à Fiscalização o acesso em período noturno e dias não úteis</w:t>
      </w:r>
      <w:r>
        <w:rPr>
          <w:rFonts w:ascii="Times new roman" w:hAnsi="Times new roman"/>
          <w:i w:val="false"/>
          <w:iCs w:val="false"/>
          <w:color w:val="000000"/>
          <w:sz w:val="24"/>
          <w:szCs w:val="24"/>
        </w:rPr>
        <w:t>.</w:t>
      </w:r>
    </w:p>
    <w:p>
      <w:pPr>
        <w:pStyle w:val="Ttulo3"/>
        <w:numPr>
          <w:ilvl w:val="2"/>
          <w:numId w:val="9"/>
        </w:numPr>
        <w:spacing w:lineRule="auto" w:line="276" w:before="0" w:after="170"/>
        <w:ind w:left="0" w:right="0" w:hanging="0"/>
        <w:contextualSpacing/>
        <w:jc w:val="left"/>
        <w:rPr>
          <w:sz w:val="24"/>
          <w:szCs w:val="24"/>
        </w:rPr>
      </w:pPr>
      <w:r>
        <w:rPr>
          <w:rFonts w:ascii="Times new roman" w:hAnsi="Times new roman"/>
          <w:i w:val="false"/>
          <w:iCs w:val="false"/>
          <w:color w:val="000000"/>
          <w:sz w:val="24"/>
          <w:szCs w:val="24"/>
        </w:rPr>
        <w:t xml:space="preserve">Cronograma de realização dos serviços: </w:t>
      </w:r>
      <w:r>
        <w:rPr>
          <w:rFonts w:ascii="Times new roman" w:hAnsi="Times new roman"/>
          <w:i w:val="false"/>
          <w:iCs w:val="false"/>
          <w:color w:val="000000"/>
          <w:sz w:val="24"/>
          <w:szCs w:val="24"/>
          <w:u w:val="single"/>
        </w:rPr>
        <w:t>conforme o Cronograma Físico-Financeiro, anexo a este Termo de Referência</w:t>
      </w:r>
      <w:r>
        <w:rPr>
          <w:rFonts w:ascii="Times new roman" w:hAnsi="Times new roman"/>
          <w:i w:val="false"/>
          <w:iCs w:val="false"/>
          <w:color w:val="000000"/>
          <w:sz w:val="24"/>
          <w:szCs w:val="24"/>
        </w:rPr>
        <w:t>.</w:t>
      </w:r>
    </w:p>
    <w:p>
      <w:pPr>
        <w:pStyle w:val="Ttulo3"/>
        <w:numPr>
          <w:ilvl w:val="2"/>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Deverá ser mantido no canteiro:</w:t>
      </w:r>
    </w:p>
    <w:p>
      <w:pPr>
        <w:pStyle w:val="Ttulo4"/>
        <w:numPr>
          <w:ilvl w:val="3"/>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 xml:space="preserve">Todos os projetos atualizados, </w:t>
      </w:r>
    </w:p>
    <w:p>
      <w:pPr>
        <w:pStyle w:val="Ttulo4"/>
        <w:numPr>
          <w:ilvl w:val="3"/>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Cronograma físico vigente,</w:t>
      </w:r>
    </w:p>
    <w:p>
      <w:pPr>
        <w:pStyle w:val="Ttulo4"/>
        <w:numPr>
          <w:ilvl w:val="3"/>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PPRA (se for o caso),</w:t>
      </w:r>
    </w:p>
    <w:p>
      <w:pPr>
        <w:pStyle w:val="Ttulo4"/>
        <w:numPr>
          <w:ilvl w:val="3"/>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Registro CNO e INSS;</w:t>
      </w:r>
    </w:p>
    <w:p>
      <w:pPr>
        <w:pStyle w:val="Ttulo4"/>
        <w:numPr>
          <w:ilvl w:val="3"/>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Diário de Obra; e</w:t>
      </w:r>
    </w:p>
    <w:p>
      <w:pPr>
        <w:pStyle w:val="Ttulo4"/>
        <w:numPr>
          <w:ilvl w:val="3"/>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Laudos contendo a Qualidade do Concreto (se for o caso).</w:t>
      </w:r>
    </w:p>
    <w:p>
      <w:pPr>
        <w:pStyle w:val="Ttulo3"/>
        <w:numPr>
          <w:ilvl w:val="2"/>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 Contratada não poderá utilizar de mão de obra de pessoas presas ou egressas do Sistema Prisional na realização dos serviços em área militar para a execução do objeto desta licitação, conforme decisão do Despacho nº 15/GM-MD, de 29 de maio de 2019, publicado no Diário Oficial da União, Edição 104, Seção 1, Página 20, em 31 de maio de 2019.</w:t>
      </w:r>
    </w:p>
    <w:p>
      <w:pPr>
        <w:pStyle w:val="Ttulododocumento"/>
        <w:numPr>
          <w:ilvl w:val="0"/>
          <w:numId w:val="0"/>
        </w:numPr>
        <w:spacing w:lineRule="auto" w:line="276" w:before="0" w:after="170"/>
        <w:ind w:left="0" w:right="0" w:hanging="0"/>
        <w:contextualSpacing/>
        <w:rPr/>
      </w:pPr>
      <w:bookmarkStart w:id="3" w:name="_Toc132103342"/>
      <w:r>
        <w:rPr>
          <w:rStyle w:val="BookTitle"/>
          <w:rFonts w:ascii="Times new roman" w:hAnsi="Times new roman"/>
          <w:b/>
          <w:i w:val="false"/>
          <w:iCs w:val="false"/>
          <w:color w:val="000000"/>
          <w:sz w:val="24"/>
          <w:szCs w:val="24"/>
        </w:rPr>
        <w:t>Local da prestação dos serviços</w:t>
      </w:r>
      <w:bookmarkEnd w:id="3"/>
    </w:p>
    <w:p>
      <w:pPr>
        <w:pStyle w:val="Ttulo2"/>
        <w:numPr>
          <w:ilvl w:val="1"/>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Os serviços serão prestados no seguinte endereço: Av. Francisco M. Albizu</w:t>
      </w:r>
      <w:r>
        <w:rPr>
          <w:rFonts w:ascii="Times new roman" w:hAnsi="Times new roman"/>
          <w:i w:val="false"/>
          <w:iCs w:val="false"/>
          <w:color w:val="000000"/>
          <w:sz w:val="24"/>
          <w:szCs w:val="24"/>
          <w:u w:val="single"/>
        </w:rPr>
        <w:t>, nº 320, Bairro Bacacheri, Município de Curitiba / PR</w:t>
      </w:r>
      <w:r>
        <w:rPr>
          <w:rFonts w:ascii="Times new roman" w:hAnsi="Times new roman"/>
          <w:i w:val="false"/>
          <w:iCs w:val="false"/>
          <w:color w:val="000000"/>
          <w:sz w:val="24"/>
          <w:szCs w:val="24"/>
        </w:rPr>
        <w:t>.</w:t>
      </w:r>
    </w:p>
    <w:p>
      <w:pPr>
        <w:pStyle w:val="Ttulododocumento"/>
        <w:numPr>
          <w:ilvl w:val="0"/>
          <w:numId w:val="0"/>
        </w:numPr>
        <w:spacing w:lineRule="auto" w:line="276" w:before="0" w:after="170"/>
        <w:ind w:left="0" w:right="0" w:hanging="0"/>
        <w:contextualSpacing/>
        <w:rPr/>
      </w:pPr>
      <w:bookmarkStart w:id="4" w:name="_Toc132103343"/>
      <w:r>
        <w:rPr>
          <w:rStyle w:val="BookTitle"/>
          <w:rFonts w:ascii="Times new roman" w:hAnsi="Times new roman"/>
          <w:b/>
          <w:i w:val="false"/>
          <w:iCs w:val="false"/>
          <w:color w:val="000000"/>
          <w:sz w:val="24"/>
          <w:szCs w:val="24"/>
        </w:rPr>
        <w:t>Materiais a serem disponibilizados</w:t>
      </w:r>
      <w:bookmarkEnd w:id="4"/>
    </w:p>
    <w:p>
      <w:pPr>
        <w:pStyle w:val="Ttulo2"/>
        <w:numPr>
          <w:ilvl w:val="1"/>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Para a perfeita execução dos serviços, a Contratada deverá disponibilizar os materiais, equipamentos, ferramentas e utensílios necessários, nas quantidades estimadas e qualidades estabelecidas.</w:t>
      </w:r>
    </w:p>
    <w:p>
      <w:pPr>
        <w:pStyle w:val="Ttulo3"/>
        <w:numPr>
          <w:ilvl w:val="2"/>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Submeter à aprovação da fiscalização os protótipos ou amostras dos materiais e equipamentos a serem aplicados nos serviços e obras objeto do contrato.</w:t>
      </w:r>
    </w:p>
    <w:p>
      <w:pPr>
        <w:pStyle w:val="Ttulododocumento"/>
        <w:numPr>
          <w:ilvl w:val="0"/>
          <w:numId w:val="0"/>
        </w:numPr>
        <w:spacing w:lineRule="auto" w:line="276" w:before="0" w:after="170"/>
        <w:ind w:left="0" w:right="0" w:hanging="0"/>
        <w:contextualSpacing/>
        <w:rPr/>
      </w:pPr>
      <w:bookmarkStart w:id="5" w:name="_Toc132103344"/>
      <w:r>
        <w:rPr>
          <w:rStyle w:val="BookTitle"/>
          <w:rFonts w:ascii="Times new roman" w:hAnsi="Times new roman"/>
          <w:b/>
          <w:i w:val="false"/>
          <w:iCs w:val="false"/>
          <w:color w:val="000000"/>
          <w:sz w:val="24"/>
          <w:szCs w:val="24"/>
        </w:rPr>
        <w:t>Informações relevantes para o dimensionamento da proposta</w:t>
      </w:r>
      <w:bookmarkEnd w:id="5"/>
    </w:p>
    <w:p>
      <w:pPr>
        <w:pStyle w:val="Ttulo2"/>
        <w:numPr>
          <w:ilvl w:val="1"/>
          <w:numId w:val="9"/>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Todas as informações relevantes, necessidades e eventuais particularidades do órgão que impactam no dimensionamento da proposta foram apresentadas no Memorial Descritivo, anexo a este Termo de Referência</w:t>
      </w:r>
      <w:r>
        <w:rPr>
          <w:rFonts w:ascii="Times new roman" w:hAnsi="Times new roman"/>
          <w:i w:val="false"/>
          <w:iCs w:val="false"/>
          <w:color w:val="000000"/>
          <w:sz w:val="24"/>
          <w:szCs w:val="24"/>
        </w:rPr>
        <w:t>.</w:t>
      </w:r>
    </w:p>
    <w:p>
      <w:pPr>
        <w:pStyle w:val="Ttulododocumento"/>
        <w:numPr>
          <w:ilvl w:val="0"/>
          <w:numId w:val="0"/>
        </w:numPr>
        <w:spacing w:lineRule="auto" w:line="276" w:before="0" w:after="170"/>
        <w:ind w:left="0" w:right="0" w:hanging="0"/>
        <w:contextualSpacing/>
        <w:rPr/>
      </w:pPr>
      <w:bookmarkStart w:id="6" w:name="_Toc132103345"/>
      <w:r>
        <w:rPr>
          <w:rStyle w:val="BookTitle"/>
          <w:rFonts w:ascii="Times new roman" w:hAnsi="Times new roman"/>
          <w:b/>
          <w:i w:val="false"/>
          <w:iCs w:val="false"/>
          <w:color w:val="000000"/>
          <w:sz w:val="24"/>
          <w:szCs w:val="24"/>
        </w:rPr>
        <w:t>Especificação da garantia do serviço</w:t>
      </w:r>
      <w:bookmarkEnd w:id="6"/>
    </w:p>
    <w:p>
      <w:pPr>
        <w:pStyle w:val="Ttulo2"/>
        <w:numPr>
          <w:ilvl w:val="1"/>
          <w:numId w:val="9"/>
        </w:numPr>
        <w:spacing w:lineRule="auto" w:line="276" w:before="0" w:after="170"/>
        <w:ind w:left="0" w:right="0" w:hanging="0"/>
        <w:contextualSpacing/>
        <w:rPr>
          <w:sz w:val="24"/>
          <w:szCs w:val="24"/>
        </w:rPr>
      </w:pPr>
      <w:bookmarkStart w:id="7" w:name="_Toc6813868"/>
      <w:bookmarkStart w:id="8" w:name="_Toc5087379"/>
      <w:bookmarkStart w:id="9" w:name="_Toc22895937"/>
      <w:r>
        <w:rPr>
          <w:rFonts w:cs="Arial" w:ascii="Times new roman" w:hAnsi="Times new roman"/>
          <w:i w:val="false"/>
          <w:iCs w:val="false"/>
          <w:color w:val="000000"/>
          <w:sz w:val="24"/>
          <w:szCs w:val="24"/>
        </w:rPr>
        <w:t>O prazo de garantia contratual dos serviços é aquele estabelecido na Lei nº 8.078, de 11 de setembro de 1990 (Código de Defesa do Consumidor).</w:t>
      </w:r>
      <w:bookmarkEnd w:id="7"/>
      <w:bookmarkEnd w:id="8"/>
      <w:bookmarkEnd w:id="9"/>
    </w:p>
    <w:p>
      <w:pPr>
        <w:pStyle w:val="Nivel1"/>
        <w:spacing w:lineRule="auto" w:line="276" w:before="0" w:after="170"/>
        <w:ind w:left="0" w:right="0" w:hanging="0"/>
        <w:contextualSpacing/>
        <w:rPr>
          <w:sz w:val="24"/>
          <w:szCs w:val="24"/>
        </w:rPr>
      </w:pPr>
      <w:r>
        <w:rPr>
          <w:sz w:val="24"/>
          <w:szCs w:val="24"/>
        </w:rPr>
      </w:r>
    </w:p>
    <w:p>
      <w:pPr>
        <w:pStyle w:val="Nivel1"/>
        <w:numPr>
          <w:ilvl w:val="0"/>
          <w:numId w:val="5"/>
        </w:numPr>
        <w:spacing w:lineRule="auto" w:line="276" w:before="0" w:after="170"/>
        <w:ind w:left="0" w:right="0" w:hanging="0"/>
        <w:contextualSpacing/>
        <w:rPr>
          <w:sz w:val="24"/>
          <w:szCs w:val="24"/>
        </w:rPr>
      </w:pPr>
      <w:r>
        <w:rPr>
          <w:rFonts w:eastAsia="Times New Roman" w:ascii="Times new roman" w:hAnsi="Times new roman"/>
          <w:i w:val="false"/>
          <w:iCs w:val="false"/>
          <w:color w:val="000000"/>
          <w:sz w:val="24"/>
          <w:szCs w:val="24"/>
        </w:rPr>
        <w:t>MODELO DE GESTÃO DO CONTRATO (art. 6º, XXIII, alínea “f” da Lei nº 14.133/21).</w:t>
      </w:r>
    </w:p>
    <w:p>
      <w:pPr>
        <w:pStyle w:val="Normal"/>
        <w:spacing w:lineRule="auto" w:line="276" w:before="0" w:after="170"/>
        <w:ind w:left="0" w:right="0" w:hanging="0"/>
        <w:contextualSpacing/>
        <w:jc w:val="both"/>
        <w:rPr>
          <w:rFonts w:ascii="Times new roman" w:hAnsi="Times new roman" w:cs="Arial"/>
          <w:i w:val="false"/>
          <w:i w:val="false"/>
          <w:iCs w:val="false"/>
          <w:color w:val="000000"/>
          <w:sz w:val="24"/>
          <w:szCs w:val="24"/>
        </w:rPr>
      </w:pPr>
      <w:r>
        <w:rPr>
          <w:rFonts w:cs="Arial" w:ascii="Times new roman" w:hAnsi="Times new roman"/>
          <w:i w:val="false"/>
          <w:iCs w:val="false"/>
          <w:color w:val="000000"/>
          <w:sz w:val="24"/>
          <w:szCs w:val="24"/>
        </w:rPr>
      </w:r>
    </w:p>
    <w:p>
      <w:pPr>
        <w:pStyle w:val="Nivel1"/>
        <w:numPr>
          <w:ilvl w:val="1"/>
          <w:numId w:val="5"/>
        </w:numPr>
        <w:spacing w:lineRule="auto" w:line="276" w:before="0" w:after="170"/>
        <w:ind w:left="0" w:right="0" w:hanging="0"/>
        <w:contextualSpacing/>
        <w:rPr>
          <w:sz w:val="24"/>
          <w:szCs w:val="24"/>
        </w:rPr>
      </w:pPr>
      <w:r>
        <w:rPr>
          <w:rFonts w:eastAsia="Times New Roman" w:ascii="Times new roman" w:hAnsi="Times new roman"/>
          <w:i w:val="false"/>
          <w:iCs w:val="false"/>
          <w:color w:val="000000"/>
          <w:sz w:val="24"/>
          <w:szCs w:val="24"/>
        </w:rPr>
        <w:t>ROTINAS</w:t>
      </w:r>
      <w:r>
        <w:rPr>
          <w:rFonts w:ascii="Times new roman" w:hAnsi="Times new roman"/>
          <w:bCs/>
          <w:i w:val="false"/>
          <w:iCs w:val="false"/>
          <w:color w:val="000000"/>
          <w:sz w:val="24"/>
          <w:szCs w:val="24"/>
        </w:rPr>
        <w:t xml:space="preserve"> DE FISCALIZAÇÃO CONTRATUAL</w:t>
      </w:r>
    </w:p>
    <w:p>
      <w:pPr>
        <w:pStyle w:val="Nivel1"/>
        <w:numPr>
          <w:ilvl w:val="1"/>
          <w:numId w:val="5"/>
        </w:numPr>
        <w:spacing w:lineRule="auto" w:line="276" w:before="0" w:after="170"/>
        <w:ind w:left="0" w:right="0" w:hanging="0"/>
        <w:contextualSpacing/>
        <w:rPr>
          <w:sz w:val="24"/>
          <w:szCs w:val="24"/>
        </w:rPr>
      </w:pPr>
      <w:r>
        <w:rPr>
          <w:rFonts w:cs="Arial" w:ascii="Times new roman" w:hAnsi="Times new roman"/>
          <w:b w:val="false"/>
          <w:bCs w:val="false"/>
          <w:i w:val="false"/>
          <w:iCs w:val="false"/>
          <w:color w:val="000000"/>
          <w:sz w:val="24"/>
          <w:szCs w:val="24"/>
        </w:rPr>
        <w:t xml:space="preserve">O contrato deverá ser executado fielmente pelas partes, de acordo com as cláusulas </w:t>
      </w:r>
      <w:r>
        <w:rPr>
          <w:rFonts w:eastAsia="Times New Roman" w:cs="Arial" w:ascii="Times new roman" w:hAnsi="Times new roman"/>
          <w:b w:val="false"/>
          <w:bCs w:val="false"/>
          <w:i w:val="false"/>
          <w:iCs w:val="false"/>
          <w:color w:val="000000"/>
          <w:sz w:val="24"/>
          <w:szCs w:val="24"/>
        </w:rPr>
        <w:t>avençadas</w:t>
      </w:r>
      <w:r>
        <w:rPr>
          <w:rFonts w:cs="Arial" w:ascii="Times new roman" w:hAnsi="Times new roman"/>
          <w:b w:val="false"/>
          <w:bCs w:val="false"/>
          <w:i w:val="false"/>
          <w:iCs w:val="false"/>
          <w:color w:val="000000"/>
          <w:sz w:val="24"/>
          <w:szCs w:val="24"/>
        </w:rPr>
        <w:t xml:space="preserve"> e as normas da Lei nº 14.133, de 2021, e cada parte responderá pelas consequências de sua inexecução total ou parcial (Lei nº 14.133/2021, art. 115, caput).</w:t>
      </w:r>
    </w:p>
    <w:p>
      <w:pPr>
        <w:pStyle w:val="Nivel1"/>
        <w:numPr>
          <w:ilvl w:val="1"/>
          <w:numId w:val="5"/>
        </w:numPr>
        <w:spacing w:lineRule="auto" w:line="276" w:before="0" w:after="170"/>
        <w:ind w:left="0" w:right="0" w:hanging="0"/>
        <w:contextualSpacing/>
        <w:rPr>
          <w:sz w:val="24"/>
          <w:szCs w:val="24"/>
        </w:rPr>
      </w:pPr>
      <w:bookmarkStart w:id="10" w:name="art115%2525C2%2525A71"/>
      <w:bookmarkStart w:id="11" w:name="art115%2525C2%2525A75"/>
      <w:bookmarkEnd w:id="10"/>
      <w:bookmarkEnd w:id="11"/>
      <w:r>
        <w:rPr>
          <w:rFonts w:cs="Arial" w:ascii="Times new roman" w:hAnsi="Times new roman"/>
          <w:b w:val="false"/>
          <w:bCs w:val="false"/>
          <w:i w:val="false"/>
          <w:iCs w:val="false"/>
          <w:color w:val="000000"/>
          <w:sz w:val="24"/>
          <w:szCs w:val="24"/>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Nivel1"/>
        <w:numPr>
          <w:ilvl w:val="1"/>
          <w:numId w:val="5"/>
        </w:numPr>
        <w:spacing w:lineRule="auto" w:line="276" w:before="0" w:after="170"/>
        <w:ind w:left="0" w:right="0" w:hanging="0"/>
        <w:contextualSpacing/>
        <w:rPr>
          <w:sz w:val="24"/>
          <w:szCs w:val="24"/>
        </w:rPr>
      </w:pPr>
      <w:bookmarkStart w:id="12" w:name="art116"/>
      <w:bookmarkEnd w:id="12"/>
      <w:r>
        <w:rPr>
          <w:rFonts w:cs="Arial" w:ascii="Times new roman" w:hAnsi="Times new roman"/>
          <w:i w:val="false"/>
          <w:iCs w:val="false"/>
          <w:color w:val="000000"/>
          <w:sz w:val="24"/>
          <w:szCs w:val="24"/>
        </w:rPr>
        <w:t>A execução do contrato deverá ser acompanhada e fiscalizada pelo(s) fiscal(is) do contrato, ou pelos respectivos substitutos (Lei nº 14.133/2021, art. 117, caput).</w:t>
      </w:r>
    </w:p>
    <w:p>
      <w:pPr>
        <w:pStyle w:val="Nivel1"/>
        <w:numPr>
          <w:ilvl w:val="1"/>
          <w:numId w:val="5"/>
        </w:numPr>
        <w:spacing w:lineRule="auto" w:line="276" w:before="0" w:after="170"/>
        <w:ind w:left="0" w:right="0" w:hanging="0"/>
        <w:contextualSpacing/>
        <w:rPr>
          <w:sz w:val="24"/>
          <w:szCs w:val="24"/>
        </w:rPr>
      </w:pPr>
      <w:r>
        <w:rPr>
          <w:rFonts w:cs="Arial" w:ascii="Times new roman" w:hAnsi="Times new roman"/>
          <w:i w:val="false"/>
          <w:iCs w:val="false"/>
          <w:color w:val="000000"/>
          <w:sz w:val="24"/>
          <w:szCs w:val="24"/>
        </w:rPr>
        <w:t>O fiscal do contrato anotará em registro próprio todas as ocorrências relacionadas à execução do contrato, determinando o que for necessário para a regularização das faltas ou dos defeitos observados (Lei nº 14.133/2021, art. 117, §1º).</w:t>
      </w:r>
    </w:p>
    <w:p>
      <w:pPr>
        <w:pStyle w:val="ListParagraph"/>
        <w:numPr>
          <w:ilvl w:val="3"/>
          <w:numId w:val="5"/>
        </w:numPr>
        <w:tabs>
          <w:tab w:val="clear" w:pos="708"/>
          <w:tab w:val="left" w:pos="1134" w:leader="none"/>
        </w:tabs>
        <w:spacing w:lineRule="auto" w:line="276" w:before="0" w:after="170"/>
        <w:ind w:left="0" w:right="0" w:hanging="0"/>
        <w:contextualSpacing/>
        <w:jc w:val="both"/>
        <w:rPr>
          <w:sz w:val="24"/>
          <w:szCs w:val="24"/>
        </w:rPr>
      </w:pPr>
      <w:bookmarkStart w:id="13" w:name="art117%2525C2%2525A72"/>
      <w:bookmarkEnd w:id="13"/>
      <w:r>
        <w:rPr>
          <w:rFonts w:cs="Arial" w:ascii="Times new roman" w:hAnsi="Times new roman"/>
          <w:i w:val="false"/>
          <w:iCs w:val="false"/>
          <w:color w:val="000000"/>
          <w:sz w:val="24"/>
          <w:szCs w:val="24"/>
        </w:rPr>
        <w:t>O fiscal do contrato informará a seus superiores, em tempo hábil para a adoção das medidas convenientes, a situação que demandar decisão ou providência que ultrapasse sua competência (Lei nº 14.133/2021, art. 117, §2º).</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 contratado deverá manter preposto aceito pela Administração no local da obra ou do serviço para representá-lo na execução do contrato. (Lei nº 14.133/2021, art. 118).</w:t>
      </w:r>
    </w:p>
    <w:p>
      <w:pPr>
        <w:pStyle w:val="ListParagraph"/>
        <w:numPr>
          <w:ilvl w:val="3"/>
          <w:numId w:val="5"/>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 indicação ou a manutenção do preposto da empresa poderá ser recusada pelo órgão ou entidade, desde que devidamente justificada, devendo a empresa designar outro para o exercício da atividade (IN 5, art. 44, §1º), no prazo indicado pelo fiscal.</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bookmarkStart w:id="14" w:name="art122%2525C2%2525A71"/>
      <w:bookmarkStart w:id="15" w:name="art122%2525C2%2525A72"/>
      <w:bookmarkStart w:id="16" w:name="art123"/>
      <w:bookmarkStart w:id="17" w:name="art122"/>
      <w:bookmarkStart w:id="18" w:name="art122%2525C2%2525A73"/>
      <w:bookmarkEnd w:id="14"/>
      <w:bookmarkEnd w:id="15"/>
      <w:bookmarkEnd w:id="16"/>
      <w:bookmarkEnd w:id="17"/>
      <w:bookmarkEnd w:id="18"/>
      <w:r>
        <w:rPr>
          <w:rFonts w:cs="Arial" w:ascii="Times new roman" w:hAnsi="Times new roman"/>
          <w:i w:val="false"/>
          <w:iCs w:val="false"/>
          <w:color w:val="000000"/>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bookmarkStart w:id="19" w:name="art120"/>
      <w:bookmarkEnd w:id="19"/>
      <w:r>
        <w:rPr>
          <w:rFonts w:cs="Arial" w:ascii="Times new roman" w:hAnsi="Times new roman"/>
          <w:i w:val="false"/>
          <w:iCs w:val="false"/>
          <w:color w:val="000000"/>
          <w:sz w:val="24"/>
          <w:szCs w:val="24"/>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bookmarkStart w:id="20" w:name="art121"/>
      <w:bookmarkEnd w:id="20"/>
      <w:r>
        <w:rPr>
          <w:rFonts w:cs="Arial" w:ascii="Times new roman" w:hAnsi="Times new roman"/>
          <w:i w:val="false"/>
          <w:iCs w:val="false"/>
          <w:color w:val="000000"/>
          <w:sz w:val="24"/>
          <w:szCs w:val="24"/>
        </w:rPr>
        <w:t>Somente o contratado será responsável pelos encargos trabalhistas, previdenciários, fiscais e comerciais resultantes da execução do contrato (Lei nº 14.133/2021, art. 121, caput).</w:t>
      </w:r>
    </w:p>
    <w:p>
      <w:pPr>
        <w:pStyle w:val="ListParagraph"/>
        <w:numPr>
          <w:ilvl w:val="3"/>
          <w:numId w:val="5"/>
        </w:numPr>
        <w:tabs>
          <w:tab w:val="clear" w:pos="708"/>
          <w:tab w:val="left" w:pos="1134" w:leader="none"/>
        </w:tabs>
        <w:spacing w:lineRule="auto" w:line="276" w:before="0" w:after="170"/>
        <w:ind w:left="0" w:right="0" w:hanging="0"/>
        <w:contextualSpacing/>
        <w:jc w:val="both"/>
        <w:rPr>
          <w:sz w:val="24"/>
          <w:szCs w:val="24"/>
        </w:rPr>
      </w:pPr>
      <w:bookmarkStart w:id="21" w:name="art121%2525C2%2525A71"/>
      <w:bookmarkEnd w:id="21"/>
      <w:r>
        <w:rPr>
          <w:rFonts w:eastAsia="Times New Roman" w:cs="Arial" w:ascii="Times new roman" w:hAnsi="Times new roman"/>
          <w:i w:val="false"/>
          <w:iCs w:val="false"/>
          <w:color w:val="000000"/>
          <w:sz w:val="24"/>
          <w:szCs w:val="24"/>
          <w:lang w:eastAsia="pt-BR"/>
        </w:rPr>
        <w:t xml:space="preserve">A inadimplência do contratado em relação aos encargos trabalhistas, fiscais e </w:t>
      </w:r>
      <w:r>
        <w:rPr>
          <w:rFonts w:cs="Arial" w:ascii="Times new roman" w:hAnsi="Times new roman"/>
          <w:i w:val="false"/>
          <w:iCs w:val="false"/>
          <w:color w:val="000000"/>
          <w:sz w:val="24"/>
          <w:szCs w:val="24"/>
        </w:rPr>
        <w:t>comerciais</w:t>
      </w:r>
      <w:r>
        <w:rPr>
          <w:rFonts w:eastAsia="Times New Roman" w:cs="Arial" w:ascii="Times new roman" w:hAnsi="Times new roman"/>
          <w:i w:val="false"/>
          <w:iCs w:val="false"/>
          <w:color w:val="000000"/>
          <w:sz w:val="24"/>
          <w:szCs w:val="24"/>
          <w:lang w:eastAsia="pt-BR"/>
        </w:rPr>
        <w:t xml:space="preserve"> não transferirá à Administração a responsabilidade pelo seu pagamento e não poderá onerar o objeto do contrato (Lei nº 14.133/2021, art. 121, §1º).</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As comunicações entre o órgão ou entidade e a contratada devem ser realizadas por escrito sempre que o ato exigir tal formalidade, admitindo-se, excepcionalmente, o uso de mensagem eletrônica para esse fim (IN 5/2017, art. 44, §2º).</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 órgão ou entidade poderá convocar representante da empresa para adoção de providências que devam ser cumpridas de imediato (IN 5/2017, art. 44, §3º).</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Após a assinatura do contrato ou instrumento equivalente,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Antes do pagamento da nota fiscal ou da fatura, deverá ser consultada a situação da empresa junto ao SICAF.</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ListParagraph"/>
        <w:numPr>
          <w:ilvl w:val="2"/>
          <w:numId w:val="5"/>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Além do disposto acima, a fiscalização contratual obedecerá às seguintes rotinas:</w:t>
      </w:r>
    </w:p>
    <w:p>
      <w:pPr>
        <w:pStyle w:val="Ttulo3"/>
        <w:numPr>
          <w:ilvl w:val="2"/>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 xml:space="preserve">solicitar, mensalmente, por amostragem, que a contratada apresente os documentos comprobatórios das obrigações trabalhistas e previdenciárias dos empregados alocados na execução da obra, em especial, quanto: </w:t>
      </w:r>
    </w:p>
    <w:p>
      <w:pPr>
        <w:pStyle w:val="Ttulo4"/>
        <w:numPr>
          <w:ilvl w:val="3"/>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ao pagamento de salários, adicionais, horas extras, repouso semanal remunerado e décimo terceiro salário;</w:t>
      </w:r>
    </w:p>
    <w:p>
      <w:pPr>
        <w:pStyle w:val="Ttulo4"/>
        <w:numPr>
          <w:ilvl w:val="3"/>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à concessão de férias remuneradas e pagamento do respectivo adicional;</w:t>
      </w:r>
    </w:p>
    <w:p>
      <w:pPr>
        <w:pStyle w:val="Ttulo4"/>
        <w:numPr>
          <w:ilvl w:val="3"/>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à concessão do auxílio-transporte, auxílio-alimentação e auxílio-saúde, quando for devido;</w:t>
      </w:r>
    </w:p>
    <w:p>
      <w:pPr>
        <w:pStyle w:val="Ttulo4"/>
        <w:numPr>
          <w:ilvl w:val="3"/>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aos depósitos do FGTS; e</w:t>
      </w:r>
    </w:p>
    <w:p>
      <w:pPr>
        <w:pStyle w:val="Ttulo4"/>
        <w:numPr>
          <w:ilvl w:val="3"/>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ao pagamento de obrigações trabalhistas e previdenciárias dos empregados dispensados até a data da extinção do contrato.</w:t>
      </w:r>
    </w:p>
    <w:p>
      <w:pPr>
        <w:pStyle w:val="Ttulo3"/>
        <w:numPr>
          <w:ilvl w:val="2"/>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solicitar, por amostragem, aos empregados da contratada, que verifiquem se as contribuições previdenciárias e do FGTS estão ou não sendo recolhidas em seus nomes, por meio da apresentação de extratos, de forma que todos os empregados tenham tido seus extratos avaliados ao final de um ano da contratação, o que não impedirá que a análise de extratos possa ser realizada mais de uma vez em relação a um mesmo empregado;</w:t>
      </w:r>
    </w:p>
    <w:p>
      <w:pPr>
        <w:pStyle w:val="Ttulo3"/>
        <w:numPr>
          <w:ilvl w:val="2"/>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u w:val="single"/>
        </w:rPr>
        <w:t>oficiar os órgãos responsáveis pela fiscalização em caso de indício de irregularidade no cumprimento das obrigações trabalhistas, previdenciárias e para com o FGTS;</w:t>
      </w:r>
    </w:p>
    <w:p>
      <w:pPr>
        <w:pStyle w:val="Ttulo3"/>
        <w:numPr>
          <w:ilvl w:val="2"/>
          <w:numId w:val="5"/>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u w:val="single"/>
        </w:rPr>
        <w:t>somente autorizar a subcontratação se as obrigações estabelecidas na Instrução Normativa SEGES/MP nº 6, de 6 de julho de 2018 forem expressamente aceitas pela subcontratada.</w:t>
      </w:r>
    </w:p>
    <w:p>
      <w:pPr>
        <w:pStyle w:val="Nivel1"/>
        <w:numPr>
          <w:ilvl w:val="1"/>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DOS CRITÉRIOS DE AFERIÇÃO E MEDIÇÃO PARA FATURAMENTO</w:t>
      </w:r>
    </w:p>
    <w:p>
      <w:pPr>
        <w:pStyle w:val="ListParagraph"/>
        <w:numPr>
          <w:ilvl w:val="1"/>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1"/>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2"/>
          <w:numId w:val="5"/>
        </w:numPr>
        <w:tabs>
          <w:tab w:val="clear" w:pos="708"/>
          <w:tab w:val="left" w:pos="1134" w:leader="none"/>
        </w:tabs>
        <w:spacing w:lineRule="auto" w:line="276" w:before="0" w:after="170"/>
        <w:ind w:left="0" w:right="0" w:hanging="0"/>
        <w:contextualSpacing/>
        <w:jc w:val="both"/>
        <w:rPr>
          <w:rFonts w:ascii="Times new roman" w:hAnsi="Times new roman" w:cs="Arial"/>
          <w:i w:val="false"/>
          <w:i w:val="false"/>
          <w:iCs w:val="false"/>
          <w:vanish/>
          <w:color w:val="000000"/>
          <w:sz w:val="24"/>
          <w:szCs w:val="24"/>
        </w:rPr>
      </w:pPr>
      <w:r>
        <w:rPr>
          <w:rFonts w:cs="Arial" w:ascii="Times new roman" w:hAnsi="Times new roman"/>
          <w:i w:val="false"/>
          <w:iCs w:val="false"/>
          <w:vanish/>
          <w:color w:val="000000"/>
          <w:sz w:val="24"/>
          <w:szCs w:val="24"/>
        </w:rPr>
      </w:r>
    </w:p>
    <w:p>
      <w:pPr>
        <w:pStyle w:val="ListParagraph"/>
        <w:numPr>
          <w:ilvl w:val="0"/>
          <w:numId w:val="0"/>
        </w:numPr>
        <w:tabs>
          <w:tab w:val="clear" w:pos="708"/>
          <w:tab w:val="left" w:pos="1134" w:leader="none"/>
        </w:tabs>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7.6.1 A avaliação da execução do objeto utilizará</w:t>
      </w:r>
      <w:r>
        <w:rPr>
          <w:rFonts w:cs="Arial" w:ascii="Times new roman" w:hAnsi="Times new roman"/>
          <w:b/>
          <w:bCs/>
          <w:i w:val="false"/>
          <w:iCs w:val="false"/>
          <w:color w:val="000000"/>
          <w:sz w:val="24"/>
          <w:szCs w:val="24"/>
          <w:u w:val="none"/>
        </w:rPr>
        <w:t xml:space="preserve"> </w:t>
      </w:r>
      <w:r>
        <w:rPr>
          <w:rFonts w:cs="Arial" w:ascii="Times new roman" w:hAnsi="Times new roman"/>
          <w:i w:val="false"/>
          <w:iCs w:val="false"/>
          <w:color w:val="000000"/>
          <w:sz w:val="24"/>
          <w:szCs w:val="24"/>
          <w:u w:val="none"/>
        </w:rPr>
        <w:t>o disposto neste item,</w:t>
      </w:r>
      <w:r>
        <w:rPr>
          <w:rFonts w:cs="Arial" w:ascii="Times new roman" w:hAnsi="Times new roman"/>
          <w:i w:val="false"/>
          <w:iCs w:val="false"/>
          <w:color w:val="000000"/>
          <w:sz w:val="24"/>
          <w:szCs w:val="24"/>
        </w:rPr>
        <w:t xml:space="preserve"> devendo haver o redimensionamento no pagamento com base nos indicadores estabelecidos, sempre que a CONTRATADA:</w:t>
      </w:r>
    </w:p>
    <w:p>
      <w:pPr>
        <w:pStyle w:val="Normal"/>
        <w:numPr>
          <w:ilvl w:val="0"/>
          <w:numId w:val="0"/>
        </w:numPr>
        <w:spacing w:lineRule="auto" w:line="276" w:before="0" w:after="170"/>
        <w:ind w:left="0" w:right="0" w:hanging="0"/>
        <w:contextualSpacing/>
        <w:jc w:val="both"/>
        <w:rPr>
          <w:sz w:val="24"/>
          <w:szCs w:val="24"/>
        </w:rPr>
      </w:pPr>
      <w:r>
        <w:rPr>
          <w:rFonts w:eastAsia="Calibri" w:cs="Arial" w:ascii="Times new roman" w:hAnsi="Times new roman"/>
          <w:i w:val="false"/>
          <w:iCs w:val="false"/>
          <w:color w:val="000000"/>
          <w:sz w:val="24"/>
          <w:szCs w:val="24"/>
        </w:rPr>
        <w:t>a) não produzir os resultados, deixar de executar, ou não executar com a qualidade mínima exigida as atividades contratadas; ou</w:t>
      </w:r>
    </w:p>
    <w:p>
      <w:pPr>
        <w:pStyle w:val="Normal"/>
        <w:numPr>
          <w:ilvl w:val="0"/>
          <w:numId w:val="0"/>
        </w:numPr>
        <w:spacing w:lineRule="auto" w:line="276" w:before="0" w:after="170"/>
        <w:ind w:left="0" w:right="0" w:hanging="0"/>
        <w:contextualSpacing/>
        <w:jc w:val="both"/>
        <w:rPr>
          <w:sz w:val="24"/>
          <w:szCs w:val="24"/>
        </w:rPr>
      </w:pPr>
      <w:r>
        <w:rPr>
          <w:rFonts w:eastAsia="Calibri" w:cs="Arial" w:ascii="Times new roman" w:hAnsi="Times new roman"/>
          <w:i w:val="false"/>
          <w:iCs w:val="false"/>
          <w:color w:val="000000"/>
          <w:sz w:val="24"/>
          <w:szCs w:val="24"/>
        </w:rPr>
        <w:t>b) deixar de utilizar materiais e recursos humanos exigidos para a execução do serviço, ou utilizá-los com qualidade ou quantidade inferior à demandada.</w:t>
      </w:r>
    </w:p>
    <w:p>
      <w:pPr>
        <w:pStyle w:val="ListParagraph"/>
        <w:numPr>
          <w:ilvl w:val="0"/>
          <w:numId w:val="0"/>
        </w:numPr>
        <w:tabs>
          <w:tab w:val="clear" w:pos="708"/>
          <w:tab w:val="left" w:pos="1134" w:leader="none"/>
        </w:tabs>
        <w:spacing w:lineRule="auto" w:line="276" w:before="0" w:after="170"/>
        <w:ind w:left="0" w:right="0" w:hanging="0"/>
        <w:contextualSpacing/>
        <w:jc w:val="both"/>
        <w:rPr>
          <w:sz w:val="24"/>
          <w:szCs w:val="24"/>
        </w:rPr>
      </w:pPr>
      <w:r>
        <w:rPr>
          <w:rFonts w:eastAsia="Calibri" w:cs="Arial" w:ascii="Times new roman" w:hAnsi="Times new roman"/>
          <w:i w:val="false"/>
          <w:iCs w:val="false"/>
          <w:color w:val="000000"/>
          <w:sz w:val="24"/>
          <w:szCs w:val="24"/>
        </w:rPr>
        <w:t>7.6.2 A aferição da execução contratual para fins de pagamento considerará os seguintes critérios:</w:t>
      </w:r>
    </w:p>
    <w:p>
      <w:pPr>
        <w:pStyle w:val="Ttulo3"/>
        <w:numPr>
          <w:ilvl w:val="0"/>
          <w:numId w:val="0"/>
        </w:numPr>
        <w:spacing w:lineRule="auto" w:line="276" w:before="0" w:after="170"/>
        <w:ind w:left="0" w:right="0" w:hanging="0"/>
        <w:contextualSpacing/>
        <w:rPr>
          <w:u w:val="none"/>
        </w:rPr>
      </w:pPr>
      <w:r>
        <w:rPr>
          <w:rFonts w:ascii="Times new roman" w:hAnsi="Times new roman"/>
          <w:i w:val="false"/>
          <w:iCs w:val="false"/>
          <w:color w:val="000000"/>
          <w:sz w:val="24"/>
          <w:szCs w:val="24"/>
          <w:u w:val="none"/>
        </w:rPr>
        <w:t>7.6.3 Regularmente a Fiscalização verificará se os serviços estão sendo executados de acordo com os documentos do Edital (projetos, especificações técnicas) e demais normativas técnicas vigentes</w:t>
      </w:r>
    </w:p>
    <w:p>
      <w:pPr>
        <w:pStyle w:val="Ttulo3"/>
        <w:numPr>
          <w:ilvl w:val="0"/>
          <w:numId w:val="0"/>
        </w:numPr>
        <w:spacing w:lineRule="auto" w:line="276" w:before="0" w:after="170"/>
        <w:ind w:left="0" w:right="0" w:hanging="0"/>
        <w:contextualSpacing/>
        <w:rPr>
          <w:u w:val="none"/>
        </w:rPr>
      </w:pPr>
      <w:r>
        <w:rPr>
          <w:rFonts w:ascii="Times new roman" w:hAnsi="Times new roman"/>
          <w:i w:val="false"/>
          <w:iCs w:val="false"/>
          <w:color w:val="000000"/>
          <w:sz w:val="24"/>
          <w:szCs w:val="24"/>
          <w:u w:val="none"/>
        </w:rPr>
        <w:t xml:space="preserve">7.6.4 Se houver irregularidades na execução, esta será registrada em Diário de Obras, ofício, e-mail ou outro documento equivalente, dando ciência à </w:t>
        <w:br/>
        <w:t>Contratada das inconsistências.</w:t>
      </w:r>
    </w:p>
    <w:p>
      <w:pPr>
        <w:pStyle w:val="Ttulo3"/>
        <w:numPr>
          <w:ilvl w:val="0"/>
          <w:numId w:val="0"/>
        </w:numPr>
        <w:spacing w:lineRule="auto" w:line="276" w:before="0" w:after="170"/>
        <w:ind w:left="0" w:right="0" w:hanging="0"/>
        <w:contextualSpacing/>
        <w:rPr>
          <w:u w:val="none"/>
        </w:rPr>
      </w:pPr>
      <w:r>
        <w:rPr>
          <w:rFonts w:ascii="Times new roman" w:hAnsi="Times new roman"/>
          <w:i w:val="false"/>
          <w:iCs w:val="false"/>
          <w:color w:val="000000"/>
          <w:sz w:val="24"/>
          <w:szCs w:val="24"/>
          <w:u w:val="none"/>
        </w:rPr>
        <w:t>7.6.5  O pagamento somente será procedido após o saneamento das pendências, ou seja, quando os serviços estiverem de acordo com o Edital.</w:t>
      </w:r>
    </w:p>
    <w:p>
      <w:pPr>
        <w:pStyle w:val="Ttulo3"/>
        <w:numPr>
          <w:ilvl w:val="0"/>
          <w:numId w:val="0"/>
        </w:numPr>
        <w:tabs>
          <w:tab w:val="clear" w:pos="708"/>
          <w:tab w:val="left" w:pos="1134" w:leader="none"/>
        </w:tabs>
        <w:spacing w:lineRule="auto" w:line="276" w:before="0" w:after="170"/>
        <w:ind w:left="0" w:right="0" w:hanging="0"/>
        <w:contextualSpacing/>
        <w:jc w:val="both"/>
        <w:rPr>
          <w:u w:val="none"/>
        </w:rPr>
      </w:pPr>
      <w:r>
        <w:rPr>
          <w:rFonts w:eastAsia="Calibri" w:cs="Arial" w:ascii="Times new roman" w:hAnsi="Times new roman"/>
          <w:i w:val="false"/>
          <w:iCs w:val="false"/>
          <w:color w:val="000000"/>
          <w:sz w:val="24"/>
          <w:szCs w:val="24"/>
          <w:u w:val="none"/>
        </w:rPr>
        <w:t>7.6.6 Não será aplicada glosa parcial no pagamento, uma vez que a Administração não utilizará Instrumento de Medição de Resultados - IMR.</w:t>
      </w:r>
    </w:p>
    <w:p>
      <w:pPr>
        <w:pStyle w:val="ListParagraph"/>
        <w:numPr>
          <w:ilvl w:val="0"/>
          <w:numId w:val="0"/>
        </w:numPr>
        <w:tabs>
          <w:tab w:val="clear" w:pos="708"/>
          <w:tab w:val="left" w:pos="1134" w:leader="none"/>
        </w:tabs>
        <w:spacing w:lineRule="auto" w:line="276" w:before="0" w:after="170"/>
        <w:ind w:left="0" w:right="0" w:hanging="0"/>
        <w:contextualSpacing/>
        <w:jc w:val="both"/>
        <w:rPr>
          <w:sz w:val="24"/>
          <w:szCs w:val="24"/>
        </w:rPr>
      </w:pPr>
      <w:r>
        <w:rPr>
          <w:rFonts w:eastAsia="Calibri" w:cs="Arial" w:ascii="Times new roman" w:hAnsi="Times new roman"/>
          <w:i w:val="false"/>
          <w:iCs w:val="false"/>
          <w:color w:val="000000"/>
          <w:sz w:val="24"/>
          <w:szCs w:val="24"/>
        </w:rPr>
        <w:t>7.6.7 Nos termos do item 1, do Anexo VIII-A da Instrução Normativa SEGES/MP nº 05, de 2017, será indicada a retenção ou glosa no pagamento, proporcional à irregularidade verificada, sem prejuízo das sanções cabíveis, caso se constate que a Contratada:</w:t>
      </w:r>
    </w:p>
    <w:p>
      <w:pPr>
        <w:pStyle w:val="ListParagraph"/>
        <w:numPr>
          <w:ilvl w:val="0"/>
          <w:numId w:val="0"/>
        </w:numPr>
        <w:tabs>
          <w:tab w:val="clear" w:pos="708"/>
          <w:tab w:val="left" w:pos="1134" w:leader="none"/>
        </w:tabs>
        <w:spacing w:lineRule="auto" w:line="276" w:before="0" w:after="170"/>
        <w:ind w:left="0" w:right="0" w:hanging="0"/>
        <w:contextualSpacing/>
        <w:jc w:val="both"/>
        <w:rPr>
          <w:sz w:val="24"/>
          <w:szCs w:val="24"/>
        </w:rPr>
      </w:pPr>
      <w:r>
        <w:rPr>
          <w:rFonts w:eastAsia="Calibri" w:cs="Arial" w:ascii="Times new roman" w:hAnsi="Times new roman"/>
          <w:i w:val="false"/>
          <w:iCs w:val="false"/>
          <w:color w:val="000000"/>
          <w:sz w:val="24"/>
          <w:szCs w:val="24"/>
        </w:rPr>
        <w:t>7.6.7,1 não produziu os resultados acordados;</w:t>
      </w:r>
    </w:p>
    <w:p>
      <w:pPr>
        <w:pStyle w:val="ListParagraph"/>
        <w:numPr>
          <w:ilvl w:val="0"/>
          <w:numId w:val="0"/>
        </w:numPr>
        <w:tabs>
          <w:tab w:val="clear" w:pos="708"/>
          <w:tab w:val="left" w:pos="1134" w:leader="none"/>
        </w:tabs>
        <w:spacing w:lineRule="auto" w:line="276" w:before="0" w:after="170"/>
        <w:ind w:left="0" w:right="0" w:hanging="0"/>
        <w:contextualSpacing/>
        <w:jc w:val="both"/>
        <w:rPr>
          <w:sz w:val="24"/>
          <w:szCs w:val="24"/>
        </w:rPr>
      </w:pPr>
      <w:r>
        <w:rPr>
          <w:rFonts w:eastAsia="Calibri" w:cs="Arial" w:ascii="Times new roman" w:hAnsi="Times new roman"/>
          <w:i w:val="false"/>
          <w:iCs w:val="false"/>
          <w:color w:val="000000"/>
          <w:sz w:val="24"/>
          <w:szCs w:val="24"/>
        </w:rPr>
        <w:t>7.6.7.2 deixou de executar as atividades contratadas, ou não as executou com a qualidade mínima exigida;</w:t>
      </w:r>
    </w:p>
    <w:p>
      <w:pPr>
        <w:pStyle w:val="ListParagraph"/>
        <w:numPr>
          <w:ilvl w:val="0"/>
          <w:numId w:val="0"/>
        </w:numPr>
        <w:tabs>
          <w:tab w:val="clear" w:pos="708"/>
          <w:tab w:val="left" w:pos="1134" w:leader="none"/>
        </w:tabs>
        <w:spacing w:lineRule="auto" w:line="276" w:before="0" w:after="170"/>
        <w:ind w:left="0" w:right="0" w:hanging="0"/>
        <w:contextualSpacing/>
        <w:jc w:val="both"/>
        <w:rPr>
          <w:sz w:val="24"/>
          <w:szCs w:val="24"/>
        </w:rPr>
      </w:pPr>
      <w:r>
        <w:rPr>
          <w:rFonts w:eastAsia="Calibri" w:cs="Arial" w:ascii="Times new roman" w:hAnsi="Times new roman"/>
          <w:i w:val="false"/>
          <w:iCs w:val="false"/>
          <w:color w:val="000000"/>
          <w:sz w:val="24"/>
          <w:szCs w:val="24"/>
        </w:rPr>
        <w:t>7.6.7.3 deixou de utilizar os materiais e recursos humanos exigidos para a execução do serviço, ou utilizou-os com qualidade ou quantidade inferior à demandada.</w:t>
      </w:r>
    </w:p>
    <w:p>
      <w:pPr>
        <w:pStyle w:val="Nivel1"/>
        <w:numPr>
          <w:ilvl w:val="0"/>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DO RECEBIMENTO</w:t>
      </w:r>
    </w:p>
    <w:p>
      <w:pPr>
        <w:pStyle w:val="Nivel2"/>
        <w:numPr>
          <w:ilvl w:val="0"/>
          <w:numId w:val="0"/>
        </w:numPr>
        <w:spacing w:lineRule="auto" w:line="276" w:before="0" w:after="170"/>
        <w:ind w:left="0" w:right="0" w:hanging="0"/>
        <w:contextualSpacing/>
        <w:rPr>
          <w:rFonts w:ascii="Times new roman" w:hAnsi="Times new roman"/>
          <w:bCs/>
          <w:i w:val="false"/>
          <w:i w:val="false"/>
          <w:iCs w:val="false"/>
          <w:color w:val="000000"/>
          <w:sz w:val="24"/>
          <w:szCs w:val="24"/>
        </w:rPr>
      </w:pPr>
      <w:r>
        <w:rPr>
          <w:rFonts w:ascii="Times new roman" w:hAnsi="Times new roman"/>
          <w:bCs/>
          <w:i w:val="false"/>
          <w:iCs w:val="false"/>
          <w:color w:val="000000"/>
          <w:sz w:val="24"/>
          <w:szCs w:val="24"/>
        </w:rPr>
      </w:r>
    </w:p>
    <w:p>
      <w:pPr>
        <w:pStyle w:val="Nivel2"/>
        <w:numPr>
          <w:ilvl w:val="1"/>
          <w:numId w:val="5"/>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Ao final de cada etapa da execução contratual, conforme previsto no Cronograma Físico-Financeiro, o Contratado apresentará a medição prévia dos serviços executados no período, por meio de planilha e memória de cálculo detalhada.</w:t>
      </w:r>
    </w:p>
    <w:p>
      <w:pPr>
        <w:pStyle w:val="Nivel2"/>
        <w:numPr>
          <w:ilvl w:val="1"/>
          <w:numId w:val="5"/>
        </w:numPr>
        <w:spacing w:lineRule="auto" w:line="276" w:before="0" w:after="170"/>
        <w:ind w:left="0" w:right="0" w:hanging="0"/>
        <w:contextualSpacing/>
        <w:rPr>
          <w:sz w:val="24"/>
          <w:szCs w:val="24"/>
        </w:rPr>
      </w:pPr>
      <w:r>
        <w:rPr>
          <w:rFonts w:eastAsia="Arial" w:cs="Arial" w:ascii="Times new roman" w:hAnsi="Times new roman"/>
          <w:bCs/>
          <w:i w:val="false"/>
          <w:iCs w:val="false"/>
          <w:color w:val="000000" w:themeColor="text1"/>
          <w:sz w:val="24"/>
          <w:szCs w:val="24"/>
        </w:rPr>
        <w:t>Uma etapa será considerada efetivamente concluída quando os serviços previstos para aquela etapa, no Cronograma Físico-Financeiro, estiverem executados em sua totalidade.</w:t>
      </w:r>
    </w:p>
    <w:p>
      <w:pPr>
        <w:pStyle w:val="Ttulo2"/>
        <w:numPr>
          <w:ilvl w:val="1"/>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 xml:space="preserve">Os serviços serão recebidos provisoriamente, no prazo </w:t>
      </w:r>
      <w:r>
        <w:rPr>
          <w:rFonts w:ascii="Times new roman" w:hAnsi="Times new roman"/>
          <w:bCs/>
          <w:i w:val="false"/>
          <w:iCs w:val="false"/>
          <w:color w:val="000000"/>
          <w:sz w:val="24"/>
          <w:szCs w:val="24"/>
          <w:u w:val="single"/>
        </w:rPr>
        <w:t>de 15 (quinze) dias</w:t>
      </w:r>
      <w:r>
        <w:rPr>
          <w:rFonts w:ascii="Times new roman" w:hAnsi="Times new roman"/>
          <w:bCs/>
          <w:i w:val="false"/>
          <w:iCs w:val="false"/>
          <w:color w:val="000000"/>
          <w:sz w:val="24"/>
          <w:szCs w:val="24"/>
        </w:rPr>
        <w:t>, pelos fiscais técnico e administrativo, mediante termos detalhados, quando verificado o cumprimento das exigências de caráter técnico e administrativo. (Art. 140, I, a , da Lei nº 14.133 e Arts. 22, X e 23, X do Decreto nº 11.246, de 2022).</w:t>
      </w:r>
    </w:p>
    <w:p>
      <w:pPr>
        <w:pStyle w:val="Nivel2"/>
        <w:numPr>
          <w:ilvl w:val="3"/>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 xml:space="preserve">O contratante realizará inspeção minuciosa de todos os serviços executados, por meio de profissionais técnicos competentes, acompanhados dos </w:t>
      </w:r>
      <w:r>
        <w:rPr>
          <w:rFonts w:ascii="Times new roman" w:hAnsi="Times new roman"/>
          <w:i w:val="false"/>
          <w:iCs w:val="false"/>
          <w:color w:val="000000"/>
          <w:sz w:val="24"/>
          <w:szCs w:val="24"/>
        </w:rPr>
        <w:t>profissionais</w:t>
      </w:r>
      <w:r>
        <w:rPr>
          <w:rFonts w:ascii="Times new roman" w:hAnsi="Times new roman"/>
          <w:bCs/>
          <w:i w:val="false"/>
          <w:iCs w:val="false"/>
          <w:color w:val="000000"/>
          <w:sz w:val="24"/>
          <w:szCs w:val="24"/>
        </w:rPr>
        <w:t xml:space="preserve"> encarregados pelo serviço, com a finalidade de verificar a adequação dos serviços e constatar e relacionar os arremates, retoques e revisões finais que se fizerem necessários.</w:t>
      </w:r>
    </w:p>
    <w:p>
      <w:pPr>
        <w:pStyle w:val="Nivel2"/>
        <w:numPr>
          <w:ilvl w:val="4"/>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Para efeito de recebimento provisório, ao final de cada etapa e após a apresentação da medição prévia pelo Contratado,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pPr>
        <w:pStyle w:val="Nivel2"/>
        <w:numPr>
          <w:ilvl w:val="4"/>
          <w:numId w:val="5"/>
        </w:numPr>
        <w:spacing w:lineRule="auto" w:line="276" w:before="0" w:after="170"/>
        <w:ind w:left="0" w:right="0" w:hanging="0"/>
        <w:contextualSpacing/>
        <w:rPr>
          <w:sz w:val="24"/>
          <w:szCs w:val="24"/>
        </w:rPr>
      </w:pPr>
      <w:r>
        <w:rPr>
          <w:rFonts w:eastAsia="Arial" w:ascii="Times new roman" w:hAnsi="Times new roman"/>
          <w:i w:val="false"/>
          <w:iCs w:val="false"/>
          <w:color w:val="000000"/>
          <w:sz w:val="24"/>
          <w:szCs w:val="24"/>
        </w:rPr>
        <w:t>Em caso de rejeição, o fiscal fixará prazo para que a irregularidade seja sanada, às custas do contratado, sem prejuízo da aplicação de penalidades cabíveis.</w:t>
      </w:r>
    </w:p>
    <w:p>
      <w:pPr>
        <w:pStyle w:val="Nivel2"/>
        <w:numPr>
          <w:ilvl w:val="4"/>
          <w:numId w:val="5"/>
        </w:numPr>
        <w:spacing w:lineRule="auto" w:line="276" w:before="0" w:after="170"/>
        <w:ind w:left="0" w:right="0" w:hanging="0"/>
        <w:contextualSpacing/>
        <w:rPr>
          <w:sz w:val="24"/>
          <w:szCs w:val="24"/>
        </w:rPr>
      </w:pPr>
      <w:r>
        <w:rPr>
          <w:rFonts w:eastAsia="Arial" w:ascii="Times new roman" w:hAnsi="Times new roman"/>
          <w:i w:val="false"/>
          <w:iCs w:val="false"/>
          <w:color w:val="000000"/>
          <w:sz w:val="24"/>
          <w:szCs w:val="24"/>
        </w:rPr>
        <w:t>Nesse caso, cabe à fiscalização não atestar a última e/ou única medição de serviços até que sejam sanadas todas as eventuais pendências que possam vir a ser apontadas no Recebimento Provisório</w:t>
      </w:r>
    </w:p>
    <w:p>
      <w:pPr>
        <w:pStyle w:val="Nivel2"/>
        <w:numPr>
          <w:ilvl w:val="4"/>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O recebimento provisório também ficará sujeito, quando cabível, à conclusão de todos os testes de campo e à entrega dos Manuais e Instruções exigíveis.</w:t>
      </w:r>
    </w:p>
    <w:p>
      <w:pPr>
        <w:pStyle w:val="Nivel2"/>
        <w:numPr>
          <w:ilvl w:val="4"/>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A aprovação da medição prévia apresentada pelo contratado não o exime de qualquer das responsabilidades contratuais, nem implica aceitação definitiva dos serviços executados.</w:t>
      </w:r>
    </w:p>
    <w:p>
      <w:pPr>
        <w:pStyle w:val="Nivel2"/>
        <w:numPr>
          <w:ilvl w:val="4"/>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ivel2"/>
        <w:numPr>
          <w:ilvl w:val="4"/>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O recebimento provisório também ficará sujeito, quando cabível, à conclusão de todos os testes de campo e à entrega dos Manuais e Instruções exigíveis.</w:t>
      </w:r>
    </w:p>
    <w:p>
      <w:pPr>
        <w:pStyle w:val="Nivel2"/>
        <w:numPr>
          <w:ilvl w:val="3"/>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No prazo supracitado para o recebimento provisório, cada fiscal ou a equipe de fiscalização deverá elaborar Relatório Circunstanciado em consonância com suas atribuições, e encaminhá-lo ao gestor do contrato.</w:t>
      </w:r>
    </w:p>
    <w:p>
      <w:pPr>
        <w:pStyle w:val="Nivel2"/>
        <w:numPr>
          <w:ilvl w:val="4"/>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ivel2"/>
        <w:numPr>
          <w:ilvl w:val="2"/>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Os serviços poderão ser rejeitados, no todo ou em parte, quando em desacordo com as especificações constantes neste Termo de Referência e na proposta, devendo ser</w:t>
      </w:r>
      <w:r>
        <w:rPr>
          <w:rFonts w:ascii="Times new roman" w:hAnsi="Times new roman"/>
          <w:bCs/>
          <w:i w:val="false"/>
          <w:iCs w:val="false"/>
          <w:strike/>
          <w:color w:val="000000"/>
          <w:sz w:val="24"/>
          <w:szCs w:val="24"/>
        </w:rPr>
        <w:t xml:space="preserve"> </w:t>
      </w:r>
      <w:r>
        <w:rPr>
          <w:rFonts w:ascii="Times new roman" w:hAnsi="Times new roman"/>
          <w:bCs/>
          <w:i w:val="false"/>
          <w:iCs w:val="false"/>
          <w:color w:val="000000"/>
          <w:sz w:val="24"/>
          <w:szCs w:val="24"/>
        </w:rPr>
        <w:t>corrigidos/refeitos/substituídos no prazo de 15 dias , a contar da notificação da contratada, às suas custas, sem prejuízo da aplicação das penalidades.</w:t>
      </w:r>
    </w:p>
    <w:p>
      <w:pPr>
        <w:pStyle w:val="Nivel2"/>
        <w:numPr>
          <w:ilvl w:val="2"/>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 xml:space="preserve">Os serviços serão recebidos definitivamente no </w:t>
      </w:r>
      <w:r>
        <w:rPr>
          <w:rFonts w:ascii="Times new roman" w:hAnsi="Times new roman"/>
          <w:bCs/>
          <w:i w:val="false"/>
          <w:iCs w:val="false"/>
          <w:color w:val="000000"/>
          <w:sz w:val="24"/>
          <w:szCs w:val="24"/>
          <w:u w:val="single"/>
        </w:rPr>
        <w:t>prazo mínimo de 30 (trinta) dias, e no máximo de 90 (noventa) dias</w:t>
      </w:r>
      <w:r>
        <w:rPr>
          <w:rFonts w:ascii="Times new roman" w:hAnsi="Times new roman"/>
          <w:bCs/>
          <w:i w:val="false"/>
          <w:iCs w:val="false"/>
          <w:color w:val="000000"/>
          <w:sz w:val="24"/>
          <w:szCs w:val="24"/>
        </w:rPr>
        <w:t xml:space="preserve">, contados do recebimento provisório, </w:t>
      </w:r>
      <w:r>
        <w:rPr>
          <w:rFonts w:ascii="Times new roman" w:hAnsi="Times new roman"/>
          <w:i w:val="false"/>
          <w:iCs w:val="false"/>
          <w:color w:val="000000"/>
          <w:sz w:val="24"/>
          <w:szCs w:val="24"/>
        </w:rPr>
        <w:t>por servidor ou comissão designada pela autoridade competente,</w:t>
      </w:r>
      <w:r>
        <w:rPr>
          <w:rFonts w:ascii="Times new roman" w:hAnsi="Times new roman"/>
          <w:bCs/>
          <w:i w:val="false"/>
          <w:iCs w:val="false"/>
          <w:color w:val="000000"/>
          <w:sz w:val="24"/>
          <w:szCs w:val="24"/>
        </w:rPr>
        <w:t xml:space="preserve"> após a verificação da qualidade e quantidade do serviço e consequente aceitação mediante termo detalhado, obedecendo as seguintes diretrizes:</w:t>
      </w:r>
    </w:p>
    <w:p>
      <w:pPr>
        <w:pStyle w:val="Nivel2"/>
        <w:numPr>
          <w:ilvl w:val="3"/>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ivel2"/>
        <w:numPr>
          <w:ilvl w:val="3"/>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Emitir Termo Circunstanciado para efeito de recebimento definitivo dos serviços prestados, com base nos relatórios e documentações apresentadas; e</w:t>
      </w:r>
    </w:p>
    <w:p>
      <w:pPr>
        <w:pStyle w:val="Nivel2"/>
        <w:numPr>
          <w:ilvl w:val="3"/>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Comunicar a empresa para que emita a Nota Fiscal ou Fatura, com o valor exato dimensionado pela fiscalizaçã</w:t>
      </w:r>
      <w:r>
        <w:rPr>
          <w:rFonts w:ascii="Times new roman" w:hAnsi="Times new roman"/>
          <w:i w:val="false"/>
          <w:iCs w:val="false"/>
          <w:color w:val="000000"/>
          <w:sz w:val="24"/>
          <w:szCs w:val="24"/>
        </w:rPr>
        <w:t>o, com base no Instrumento de Medição de Resultado (IMR), ou instrumento substituto.</w:t>
      </w:r>
    </w:p>
    <w:p>
      <w:pPr>
        <w:pStyle w:val="Nivel2"/>
        <w:numPr>
          <w:ilvl w:val="2"/>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O recebimento provisório ou definitivo não excluirá a responsabilidade civil pela solidez e pela segurança do serviço nem a responsabilidade ético-profissional pela perfeita execução do contrato.</w:t>
      </w:r>
    </w:p>
    <w:p>
      <w:pPr>
        <w:pStyle w:val="Nivel2"/>
        <w:spacing w:lineRule="auto" w:line="276" w:before="0" w:after="170"/>
        <w:ind w:left="0" w:right="0" w:hanging="0"/>
        <w:contextualSpacing/>
        <w:rPr>
          <w:rFonts w:ascii="Times new roman" w:hAnsi="Times new roman"/>
          <w:bCs/>
          <w:i w:val="false"/>
          <w:i w:val="false"/>
          <w:iCs w:val="false"/>
          <w:color w:val="000000"/>
        </w:rPr>
      </w:pPr>
      <w:r>
        <w:rPr>
          <w:rFonts w:ascii="Times new roman" w:hAnsi="Times new roman"/>
          <w:bCs/>
          <w:i w:val="false"/>
          <w:iCs w:val="false"/>
          <w:color w:val="000000"/>
        </w:rPr>
      </w:r>
    </w:p>
    <w:p>
      <w:pPr>
        <w:pStyle w:val="Nivel2"/>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 xml:space="preserve">8.4 </w:t>
      </w:r>
      <w:r>
        <w:rPr>
          <w:rStyle w:val="BookTitle"/>
          <w:rFonts w:ascii="Times new roman" w:hAnsi="Times new roman"/>
          <w:b/>
          <w:i w:val="false"/>
          <w:iCs w:val="false"/>
          <w:color w:val="000000"/>
          <w:sz w:val="24"/>
          <w:szCs w:val="24"/>
        </w:rPr>
        <w:t>Liquidação</w:t>
      </w:r>
    </w:p>
    <w:p>
      <w:pPr>
        <w:pStyle w:val="Nivel2"/>
        <w:spacing w:lineRule="auto" w:line="276" w:before="0" w:after="170"/>
        <w:ind w:left="0" w:right="0" w:hanging="0"/>
        <w:contextualSpacing/>
        <w:rPr>
          <w:sz w:val="24"/>
          <w:szCs w:val="24"/>
        </w:rPr>
      </w:pPr>
      <w:r>
        <w:rPr>
          <w:rStyle w:val="BookTitle"/>
          <w:rFonts w:ascii="Times new roman" w:hAnsi="Times new roman"/>
          <w:b w:val="false"/>
          <w:bCs w:val="false"/>
          <w:i w:val="false"/>
          <w:iCs w:val="false"/>
          <w:color w:val="000000"/>
          <w:sz w:val="24"/>
          <w:szCs w:val="24"/>
        </w:rPr>
        <w:t xml:space="preserve">8.4.1 </w:t>
      </w:r>
      <w:r>
        <w:rPr>
          <w:rStyle w:val="BookTitle"/>
          <w:rFonts w:cs="Arial" w:ascii="Times new roman" w:hAnsi="Times new roman"/>
          <w:b w:val="false"/>
          <w:bCs w:val="false"/>
          <w:i w:val="false"/>
          <w:iCs w:val="false"/>
          <w:color w:val="000000"/>
          <w:sz w:val="24"/>
          <w:szCs w:val="24"/>
          <w:u w:val="none"/>
        </w:rPr>
        <w:t>A liquidação da despesa será efetuada no prazo máximo de até 10 (dez) dias corridos, contados do recebimento da nota fiscal ou instrumento de cobrança equivalente pela Administração, conforme seção anterior.</w:t>
      </w:r>
    </w:p>
    <w:p>
      <w:pPr>
        <w:pStyle w:val="Nivel2"/>
        <w:spacing w:lineRule="auto" w:line="276" w:before="0" w:after="170"/>
        <w:ind w:left="0" w:right="0" w:hanging="0"/>
        <w:contextualSpacing/>
        <w:rPr>
          <w:rStyle w:val="BookTitle"/>
          <w:rFonts w:ascii="Times new roman" w:hAnsi="Times new roman" w:cs="Arial"/>
          <w:b w:val="false"/>
          <w:b w:val="false"/>
          <w:bCs w:val="false"/>
          <w:i w:val="false"/>
          <w:i w:val="false"/>
          <w:iCs w:val="false"/>
          <w:color w:val="000000"/>
          <w:u w:val="none"/>
        </w:rPr>
      </w:pPr>
      <w:r>
        <w:rPr>
          <w:rFonts w:cs="Arial" w:ascii="Times new roman" w:hAnsi="Times new roman"/>
          <w:b w:val="false"/>
          <w:bCs w:val="false"/>
          <w:i w:val="false"/>
          <w:iCs w:val="false"/>
          <w:color w:val="000000"/>
          <w:u w:val="none"/>
        </w:rPr>
      </w:r>
    </w:p>
    <w:p>
      <w:pPr>
        <w:pStyle w:val="Nivel2"/>
        <w:spacing w:lineRule="auto" w:line="276" w:before="0" w:after="170"/>
        <w:ind w:left="0" w:right="0" w:hanging="0"/>
        <w:contextualSpacing/>
        <w:rPr>
          <w:sz w:val="24"/>
          <w:szCs w:val="24"/>
        </w:rPr>
      </w:pPr>
      <w:r>
        <w:rPr>
          <w:rStyle w:val="BookTitle"/>
          <w:rFonts w:cs="Arial" w:ascii="Times new roman" w:hAnsi="Times new roman"/>
          <w:b w:val="false"/>
          <w:bCs w:val="false"/>
          <w:i w:val="false"/>
          <w:iCs w:val="false"/>
          <w:color w:val="000000"/>
          <w:sz w:val="24"/>
          <w:szCs w:val="24"/>
          <w:u w:val="none"/>
        </w:rPr>
        <w:t>8.4.2 Os prazos para liquidação e pagamento são cláusulas necessárias nos instrumentos de contrato, nos termos do inciso VI do art. 92 da Lei nº 14.133, de 2021.</w:t>
      </w:r>
    </w:p>
    <w:p>
      <w:pPr>
        <w:pStyle w:val="Ttulododocumento"/>
        <w:numPr>
          <w:ilvl w:val="0"/>
          <w:numId w:val="0"/>
        </w:numPr>
        <w:spacing w:lineRule="auto" w:line="276" w:before="0" w:after="170"/>
        <w:ind w:left="0" w:right="0" w:hanging="0"/>
        <w:contextualSpacing/>
        <w:rPr>
          <w:rFonts w:ascii="Times new roman" w:hAnsi="Times new roman" w:cs="Arial"/>
          <w:bCs/>
          <w:i w:val="false"/>
          <w:i w:val="false"/>
          <w:iCs w:val="false"/>
          <w:color w:val="000000"/>
          <w:u w:val="single"/>
        </w:rPr>
      </w:pPr>
      <w:r>
        <w:rPr>
          <w:rFonts w:cs="Arial" w:ascii="Times new roman" w:hAnsi="Times new roman"/>
          <w:bCs/>
          <w:i w:val="false"/>
          <w:iCs w:val="false"/>
          <w:color w:val="000000"/>
          <w:u w:val="single"/>
        </w:rPr>
      </w:r>
    </w:p>
    <w:p>
      <w:pPr>
        <w:pStyle w:val="Normal"/>
        <w:numPr>
          <w:ilvl w:val="0"/>
          <w:numId w:val="0"/>
        </w:numPr>
        <w:spacing w:lineRule="auto" w:line="276" w:before="0" w:after="170"/>
        <w:ind w:left="0" w:right="0" w:hanging="0"/>
        <w:contextualSpacing/>
        <w:jc w:val="both"/>
        <w:rPr>
          <w:rFonts w:ascii="Times new roman" w:hAnsi="Times new roman" w:cs="Arial"/>
          <w:b/>
          <w:b/>
          <w:bCs/>
          <w:i w:val="false"/>
          <w:i w:val="false"/>
          <w:iCs w:val="false"/>
          <w:color w:val="000000"/>
          <w:sz w:val="24"/>
          <w:szCs w:val="24"/>
        </w:rPr>
      </w:pPr>
      <w:r>
        <w:rPr>
          <w:rFonts w:cs="Arial" w:ascii="Times new roman" w:hAnsi="Times new roman"/>
          <w:b/>
          <w:bCs/>
          <w:i w:val="false"/>
          <w:iCs w:val="false"/>
          <w:color w:val="000000"/>
          <w:sz w:val="24"/>
          <w:szCs w:val="24"/>
        </w:rPr>
      </w:r>
    </w:p>
    <w:p>
      <w:pPr>
        <w:pStyle w:val="Nivel1"/>
        <w:numPr>
          <w:ilvl w:val="0"/>
          <w:numId w:val="5"/>
        </w:numPr>
        <w:spacing w:lineRule="auto" w:line="276" w:before="0" w:after="170"/>
        <w:ind w:left="0" w:right="0" w:hanging="0"/>
        <w:contextualSpacing/>
        <w:rPr>
          <w:sz w:val="24"/>
          <w:szCs w:val="24"/>
        </w:rPr>
      </w:pPr>
      <w:r>
        <w:rPr>
          <w:rFonts w:ascii="Times new roman" w:hAnsi="Times new roman"/>
          <w:bCs/>
          <w:i w:val="false"/>
          <w:iCs w:val="false"/>
          <w:color w:val="000000"/>
          <w:sz w:val="24"/>
          <w:szCs w:val="24"/>
        </w:rPr>
        <w:t>FORMA E CRITÉRIOS DE SELEÇÃO DO FORNECEDOR MEDIANTE O USO DO SISTEMA DE DISPENSA ELETRÔNICA (art. 6º, inciso XXIII, alínea ‘h’, da Lei n. 14.133/2021).</w:t>
      </w:r>
    </w:p>
    <w:p>
      <w:pPr>
        <w:pStyle w:val="ListParagraph"/>
        <w:numPr>
          <w:ilvl w:val="1"/>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O fornecedor será selecionado por meio da realização de procedimento de dispensa de licitação, na forma eletrônica, com fundamento na hipótese do art. 75, inciso I da Lei n.º 14.133/2021 (indicar um dos incisos do art. 75, da Lei n.º 14.133/2021, conforme o caso concreto), que culminará com a seleção da proposta de menor preço global </w:t>
      </w:r>
    </w:p>
    <w:p>
      <w:pPr>
        <w:pStyle w:val="ListParagraph"/>
        <w:numPr>
          <w:ilvl w:val="1"/>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 </w:t>
      </w:r>
      <w:r>
        <w:rPr>
          <w:rFonts w:cs="Arial" w:ascii="Times new roman" w:hAnsi="Times new roman"/>
          <w:i w:val="false"/>
          <w:iCs w:val="false"/>
          <w:color w:val="000000"/>
          <w:sz w:val="24"/>
          <w:szCs w:val="24"/>
        </w:rPr>
        <w:t>As exigências de habilitação jurídica, fiscal, social e trabalhista são as usuais para a generalidade dos objetos, conforme disciplinado no Anexo I do Aviso de Contratação Direta.</w:t>
      </w:r>
    </w:p>
    <w:p>
      <w:pPr>
        <w:pStyle w:val="ListParagraph"/>
        <w:numPr>
          <w:ilvl w:val="1"/>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 </w:t>
      </w:r>
      <w:r>
        <w:rPr>
          <w:rFonts w:cs="Arial" w:ascii="Times new roman" w:hAnsi="Times new roman"/>
          <w:i w:val="false"/>
          <w:iCs w:val="false"/>
          <w:color w:val="000000"/>
          <w:sz w:val="24"/>
          <w:szCs w:val="24"/>
        </w:rPr>
        <w:t>Os critérios de habilitação econômico-financeira a serem atendidos pelo fornecedor estão previstos no Anexo I do Aviso de Contratação Direta.</w:t>
      </w:r>
    </w:p>
    <w:p>
      <w:pPr>
        <w:pStyle w:val="ListParagraph"/>
        <w:numPr>
          <w:ilvl w:val="1"/>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Os critérios de habilitação técnica a serem atendidos pelo fornecedor serão:</w:t>
      </w:r>
    </w:p>
    <w:p>
      <w:pPr>
        <w:pStyle w:val="ListParagraph"/>
        <w:numPr>
          <w:ilvl w:val="1"/>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Apresentação do(s) profissional(is) abaixo indicado(s), devidamente registrado(s) no conselho profissional competente, detentor de atestado de responsabilidade técnica por execução de obra ou serviço de características semelhantes, também abaixo indicado(s):</w:t>
      </w:r>
    </w:p>
    <w:p>
      <w:pPr>
        <w:pStyle w:val="ListParagraph"/>
        <w:numPr>
          <w:ilvl w:val="0"/>
          <w:numId w:val="0"/>
        </w:numPr>
        <w:spacing w:lineRule="auto" w:line="276" w:before="0" w:after="170"/>
        <w:ind w:left="0" w:right="0" w:hanging="0"/>
        <w:contextualSpacing/>
        <w:jc w:val="both"/>
        <w:rPr>
          <w:rFonts w:cs="Arial"/>
          <w:sz w:val="24"/>
          <w:szCs w:val="24"/>
        </w:rPr>
      </w:pPr>
      <w:r>
        <w:rPr>
          <w:rFonts w:cs="Arial"/>
          <w:sz w:val="24"/>
          <w:szCs w:val="24"/>
        </w:rPr>
      </w:r>
    </w:p>
    <w:tbl>
      <w:tblPr>
        <w:tblW w:w="7123" w:type="dxa"/>
        <w:jc w:val="left"/>
        <w:tblInd w:w="1159" w:type="dxa"/>
        <w:tblCellMar>
          <w:top w:w="0" w:type="dxa"/>
          <w:left w:w="75" w:type="dxa"/>
          <w:bottom w:w="0" w:type="dxa"/>
          <w:right w:w="85" w:type="dxa"/>
        </w:tblCellMar>
        <w:tblLook w:val="04a0" w:noHBand="0" w:noVBand="1" w:firstColumn="1" w:lastRow="0" w:lastColumn="0" w:firstRow="1"/>
      </w:tblPr>
      <w:tblGrid>
        <w:gridCol w:w="3396"/>
        <w:gridCol w:w="3726"/>
      </w:tblGrid>
      <w:tr>
        <w:trPr>
          <w:trHeight w:val="309" w:hRule="atLeast"/>
        </w:trPr>
        <w:tc>
          <w:tcPr>
            <w:tcW w:w="3396" w:type="dxa"/>
            <w:tcBorders>
              <w:top w:val="single" w:sz="4" w:space="0" w:color="000001"/>
              <w:left w:val="single" w:sz="4" w:space="0" w:color="000001"/>
              <w:bottom w:val="single" w:sz="4" w:space="0" w:color="000001"/>
              <w:right w:val="single" w:sz="4" w:space="0" w:color="000001"/>
            </w:tcBorders>
            <w:shd w:color="auto" w:fill="D9D9D9" w:val="clear"/>
          </w:tcPr>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b/>
                <w:bCs/>
                <w:i w:val="false"/>
                <w:iCs w:val="false"/>
                <w:color w:val="000000"/>
                <w:sz w:val="24"/>
                <w:szCs w:val="24"/>
              </w:rPr>
              <w:t>CATEGORIA</w:t>
            </w:r>
          </w:p>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b/>
                <w:bCs/>
                <w:i w:val="false"/>
                <w:iCs w:val="false"/>
                <w:color w:val="000000"/>
                <w:sz w:val="24"/>
                <w:szCs w:val="24"/>
              </w:rPr>
              <w:t>PROFISIONAL</w:t>
            </w:r>
          </w:p>
        </w:tc>
        <w:tc>
          <w:tcPr>
            <w:tcW w:w="3726" w:type="dxa"/>
            <w:tcBorders>
              <w:top w:val="single" w:sz="4" w:space="0" w:color="000001"/>
              <w:left w:val="single" w:sz="4" w:space="0" w:color="000001"/>
              <w:bottom w:val="single" w:sz="4" w:space="0" w:color="000001"/>
              <w:right w:val="single" w:sz="4" w:space="0" w:color="000001"/>
            </w:tcBorders>
            <w:shd w:color="auto" w:fill="D9D9D9" w:val="clear"/>
            <w:vAlign w:val="center"/>
          </w:tcPr>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b/>
                <w:bCs/>
                <w:i w:val="false"/>
                <w:iCs w:val="false"/>
                <w:color w:val="000000"/>
                <w:sz w:val="24"/>
                <w:szCs w:val="24"/>
              </w:rPr>
              <w:t>DESCRIÇÃO</w:t>
            </w:r>
          </w:p>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b/>
                <w:bCs/>
                <w:i w:val="false"/>
                <w:iCs w:val="false"/>
                <w:color w:val="000000"/>
                <w:sz w:val="24"/>
                <w:szCs w:val="24"/>
              </w:rPr>
              <w:t>DO SERVIÇO</w:t>
            </w:r>
          </w:p>
        </w:tc>
      </w:tr>
      <w:tr>
        <w:trPr>
          <w:trHeight w:val="310" w:hRule="atLeast"/>
        </w:trPr>
        <w:tc>
          <w:tcPr>
            <w:tcW w:w="3396" w:type="dxa"/>
            <w:tcBorders>
              <w:top w:val="single" w:sz="4" w:space="0" w:color="000001"/>
              <w:left w:val="single" w:sz="4" w:space="0" w:color="000001"/>
              <w:bottom w:val="single" w:sz="4" w:space="0" w:color="000001"/>
              <w:right w:val="single" w:sz="4" w:space="0" w:color="000001"/>
            </w:tcBorders>
            <w:shd w:color="auto" w:fill="FFFFFF" w:themeFill="background1" w:val="clear"/>
          </w:tcPr>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i w:val="false"/>
                <w:iCs w:val="false"/>
                <w:color w:val="000000"/>
                <w:sz w:val="24"/>
                <w:szCs w:val="24"/>
              </w:rPr>
              <w:t>Engenheiro Eletricista/</w:t>
            </w:r>
          </w:p>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i w:val="false"/>
                <w:iCs w:val="false"/>
                <w:color w:val="000000"/>
                <w:sz w:val="24"/>
                <w:szCs w:val="24"/>
              </w:rPr>
              <w:t>Técnico em Eletrotécnica</w:t>
            </w:r>
          </w:p>
        </w:tc>
        <w:tc>
          <w:tcPr>
            <w:tcW w:w="3726" w:type="dxa"/>
            <w:tcBorders>
              <w:top w:val="single" w:sz="4" w:space="0" w:color="000001"/>
              <w:left w:val="single" w:sz="4" w:space="0" w:color="000001"/>
              <w:bottom w:val="single" w:sz="4" w:space="0" w:color="000001"/>
              <w:right w:val="single" w:sz="4" w:space="0" w:color="000001"/>
            </w:tcBorders>
            <w:shd w:color="auto" w:fill="FFFFFF" w:themeFill="background1" w:val="clear"/>
            <w:vAlign w:val="center"/>
          </w:tcPr>
          <w:p>
            <w:pPr>
              <w:pStyle w:val="Normal"/>
              <w:widowControl/>
              <w:numPr>
                <w:ilvl w:val="0"/>
                <w:numId w:val="0"/>
              </w:numPr>
              <w:suppressAutoHyphens w:val="false"/>
              <w:spacing w:lineRule="auto" w:line="276" w:before="0" w:after="170"/>
              <w:ind w:left="0" w:right="0" w:hanging="0"/>
              <w:contextualSpacing/>
              <w:jc w:val="center"/>
              <w:rPr>
                <w:rFonts w:ascii="Times new roman" w:hAnsi="Times new roman" w:eastAsia="Times New Roman" w:cs="Calibri"/>
                <w:b w:val="false"/>
                <w:b w:val="false"/>
                <w:bCs w:val="false"/>
                <w:color w:val="00000A"/>
                <w:sz w:val="24"/>
                <w:szCs w:val="24"/>
              </w:rPr>
            </w:pPr>
            <w:r>
              <w:rPr>
                <w:rFonts w:eastAsia="Times New Roman" w:cs="Calibri" w:ascii="Times new roman" w:hAnsi="Times new roman" w:cstheme="minorHAnsi"/>
                <w:b w:val="false"/>
                <w:bCs w:val="false"/>
                <w:i w:val="false"/>
                <w:iCs w:val="false"/>
                <w:color w:val="000000"/>
                <w:sz w:val="24"/>
                <w:szCs w:val="24"/>
              </w:rPr>
              <w:t xml:space="preserve">ADEQUAÇÃO DE </w:t>
            </w:r>
            <w:r>
              <w:rPr>
                <w:rFonts w:eastAsia="Times New Roman" w:cs="Calibri" w:ascii="Times new roman" w:hAnsi="Times new roman" w:cstheme="minorHAnsi"/>
                <w:b w:val="false"/>
                <w:bCs w:val="false"/>
                <w:i w:val="false"/>
                <w:iCs w:val="false"/>
                <w:color w:val="000000"/>
                <w:kern w:val="0"/>
                <w:sz w:val="24"/>
                <w:szCs w:val="24"/>
                <w:lang w:eastAsia="pt-BR" w:bidi="ar-SA"/>
              </w:rPr>
              <w:t>ELÉTRICA DO PAVILHÃO 08 – TRATAMENTO SUPERFICIAL DE ARMAMENTO</w:t>
            </w:r>
            <w:r>
              <w:rPr>
                <w:rFonts w:eastAsia="Times New Roman" w:cs="Calibri" w:ascii="Times new roman" w:hAnsi="Times new roman" w:cstheme="minorHAnsi"/>
                <w:b w:val="false"/>
                <w:bCs w:val="false"/>
                <w:i w:val="false"/>
                <w:iCs w:val="false"/>
                <w:color w:val="000000"/>
                <w:sz w:val="24"/>
                <w:szCs w:val="24"/>
              </w:rPr>
              <w:t xml:space="preserve"> DO PQ R MNT/5</w:t>
            </w:r>
          </w:p>
          <w:p>
            <w:pPr>
              <w:pStyle w:val="Normal"/>
              <w:widowControl/>
              <w:numPr>
                <w:ilvl w:val="0"/>
                <w:numId w:val="0"/>
              </w:numPr>
              <w:suppressAutoHyphens w:val="false"/>
              <w:spacing w:lineRule="auto" w:line="276" w:before="0" w:after="170"/>
              <w:ind w:left="0" w:right="0" w:hanging="0"/>
              <w:contextualSpacing/>
              <w:jc w:val="center"/>
              <w:rPr>
                <w:rFonts w:ascii="Times new roman" w:hAnsi="Times new roman" w:cs="Calibri" w:cstheme="minorHAnsi"/>
                <w:i w:val="false"/>
                <w:i w:val="false"/>
                <w:iCs w:val="false"/>
                <w:color w:val="000000"/>
              </w:rPr>
            </w:pPr>
            <w:r>
              <w:rPr>
                <w:rFonts w:cs="Calibri" w:cstheme="minorHAnsi" w:ascii="Times new roman" w:hAnsi="Times new roman"/>
                <w:i w:val="false"/>
                <w:iCs w:val="false"/>
                <w:color w:val="000000"/>
              </w:rPr>
            </w:r>
          </w:p>
        </w:tc>
      </w:tr>
    </w:tbl>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Comprovação</w:t>
      </w:r>
      <w:r>
        <w:rPr>
          <w:rFonts w:eastAsia="Times New Roman" w:cs="Arial" w:ascii="Times new roman" w:hAnsi="Times new roman"/>
          <w:i w:val="false"/>
          <w:iCs w:val="false"/>
          <w:color w:val="000000"/>
          <w:sz w:val="24"/>
          <w:szCs w:val="24"/>
          <w:lang w:eastAsia="pt-BR"/>
        </w:rPr>
        <w:t xml:space="preserve"> de aptidão para a execução de obras ou serviços similares de complexidade tecnológica e operacional equivalente ou superior, por meio da apresentação de certidões ou atestados, regularmente emitidos pelo conselho profissional competente.</w:t>
      </w:r>
    </w:p>
    <w:p>
      <w:pPr>
        <w:pStyle w:val="ListParagraph"/>
        <w:numPr>
          <w:ilvl w:val="3"/>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Para fins da comprovação de que trata este subitem, os atestados deverão dizer respeito a contratos executados com as seguintes características mínimas: </w:t>
      </w:r>
    </w:p>
    <w:p>
      <w:pPr>
        <w:pStyle w:val="Nivel2"/>
        <w:numPr>
          <w:ilvl w:val="0"/>
          <w:numId w:val="0"/>
        </w:numPr>
        <w:spacing w:lineRule="auto" w:line="276" w:before="0" w:after="170"/>
        <w:ind w:left="0" w:right="0" w:hanging="0"/>
        <w:contextualSpacing/>
        <w:rPr>
          <w:rFonts w:cs="Calibri" w:cstheme="minorHAnsi"/>
          <w:sz w:val="24"/>
          <w:szCs w:val="24"/>
        </w:rPr>
      </w:pPr>
      <w:r>
        <w:rPr>
          <w:rFonts w:cs="Calibri" w:cstheme="minorHAnsi"/>
          <w:sz w:val="24"/>
          <w:szCs w:val="24"/>
        </w:rPr>
      </w:r>
    </w:p>
    <w:p>
      <w:pPr>
        <w:pStyle w:val="Nivel2"/>
        <w:numPr>
          <w:ilvl w:val="0"/>
          <w:numId w:val="0"/>
        </w:numPr>
        <w:spacing w:lineRule="auto" w:line="276" w:before="0" w:after="170"/>
        <w:ind w:left="0" w:right="0" w:hanging="0"/>
        <w:contextualSpacing/>
        <w:rPr>
          <w:rFonts w:cs="Calibri" w:cstheme="minorHAnsi"/>
          <w:sz w:val="24"/>
          <w:szCs w:val="24"/>
        </w:rPr>
      </w:pPr>
      <w:r>
        <w:rPr>
          <w:rFonts w:cs="Calibri" w:cstheme="minorHAnsi"/>
          <w:sz w:val="24"/>
          <w:szCs w:val="24"/>
        </w:rPr>
      </w:r>
    </w:p>
    <w:p>
      <w:pPr>
        <w:pStyle w:val="Nivel2"/>
        <w:numPr>
          <w:ilvl w:val="0"/>
          <w:numId w:val="0"/>
        </w:numPr>
        <w:spacing w:lineRule="auto" w:line="276" w:before="0" w:after="170"/>
        <w:ind w:left="0" w:right="0" w:hanging="0"/>
        <w:contextualSpacing/>
        <w:rPr>
          <w:rFonts w:cs="Calibri" w:cstheme="minorHAnsi"/>
          <w:sz w:val="24"/>
          <w:szCs w:val="24"/>
        </w:rPr>
      </w:pPr>
      <w:r>
        <w:rPr>
          <w:rFonts w:cs="Calibri" w:cstheme="minorHAnsi"/>
          <w:sz w:val="24"/>
          <w:szCs w:val="24"/>
        </w:rPr>
      </w:r>
    </w:p>
    <w:tbl>
      <w:tblPr>
        <w:tblW w:w="6973" w:type="dxa"/>
        <w:jc w:val="left"/>
        <w:tblInd w:w="1204" w:type="dxa"/>
        <w:tblCellMar>
          <w:top w:w="0" w:type="dxa"/>
          <w:left w:w="75" w:type="dxa"/>
          <w:bottom w:w="0" w:type="dxa"/>
          <w:right w:w="85" w:type="dxa"/>
        </w:tblCellMar>
        <w:tblLook w:val="04a0" w:noHBand="0" w:noVBand="1" w:firstColumn="1" w:lastRow="0" w:lastColumn="0" w:firstRow="1"/>
      </w:tblPr>
      <w:tblGrid>
        <w:gridCol w:w="3531"/>
        <w:gridCol w:w="3441"/>
      </w:tblGrid>
      <w:tr>
        <w:trPr>
          <w:trHeight w:val="221" w:hRule="atLeast"/>
        </w:trPr>
        <w:tc>
          <w:tcPr>
            <w:tcW w:w="3531" w:type="dxa"/>
            <w:tcBorders>
              <w:top w:val="single" w:sz="4" w:space="0" w:color="000001"/>
              <w:left w:val="single" w:sz="4" w:space="0" w:color="000001"/>
              <w:bottom w:val="single" w:sz="4" w:space="0" w:color="000001"/>
              <w:right w:val="single" w:sz="4" w:space="0" w:color="000001"/>
            </w:tcBorders>
            <w:shd w:color="auto" w:fill="D9D9D9" w:val="clear"/>
            <w:vAlign w:val="center"/>
          </w:tcPr>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b/>
                <w:bCs/>
                <w:i w:val="false"/>
                <w:iCs w:val="false"/>
                <w:color w:val="000000"/>
                <w:sz w:val="24"/>
                <w:szCs w:val="24"/>
              </w:rPr>
              <w:t>DESCRIÇÃO</w:t>
            </w:r>
          </w:p>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b/>
                <w:bCs/>
                <w:i w:val="false"/>
                <w:iCs w:val="false"/>
                <w:color w:val="000000"/>
                <w:sz w:val="24"/>
                <w:szCs w:val="24"/>
              </w:rPr>
              <w:t>DO SERVIÇO</w:t>
            </w:r>
          </w:p>
        </w:tc>
        <w:tc>
          <w:tcPr>
            <w:tcW w:w="3441" w:type="dxa"/>
            <w:tcBorders>
              <w:top w:val="single" w:sz="4" w:space="0" w:color="000001"/>
              <w:left w:val="single" w:sz="4" w:space="0" w:color="000001"/>
              <w:bottom w:val="single" w:sz="4" w:space="0" w:color="000001"/>
              <w:right w:val="single" w:sz="4" w:space="0" w:color="000001"/>
            </w:tcBorders>
            <w:shd w:color="auto" w:fill="D9D9D9" w:val="clear"/>
            <w:vAlign w:val="center"/>
          </w:tcPr>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b/>
                <w:bCs/>
                <w:i w:val="false"/>
                <w:iCs w:val="false"/>
                <w:color w:val="000000"/>
                <w:sz w:val="24"/>
                <w:szCs w:val="24"/>
              </w:rPr>
              <w:t>QUANTIDADE</w:t>
            </w:r>
          </w:p>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b/>
                <w:bCs/>
                <w:i w:val="false"/>
                <w:iCs w:val="false"/>
                <w:color w:val="000000"/>
                <w:sz w:val="24"/>
                <w:szCs w:val="24"/>
              </w:rPr>
              <w:t>MÍNIMA</w:t>
            </w:r>
          </w:p>
        </w:tc>
      </w:tr>
      <w:tr>
        <w:trPr>
          <w:trHeight w:val="222" w:hRule="atLeast"/>
        </w:trPr>
        <w:tc>
          <w:tcPr>
            <w:tcW w:w="3531" w:type="dxa"/>
            <w:tcBorders>
              <w:top w:val="single" w:sz="4" w:space="0" w:color="000001"/>
              <w:left w:val="single" w:sz="4" w:space="0" w:color="000001"/>
              <w:bottom w:val="single" w:sz="4" w:space="0" w:color="000001"/>
              <w:right w:val="single" w:sz="4" w:space="0" w:color="000001"/>
            </w:tcBorders>
            <w:shd w:color="auto" w:fill="FFFFFF" w:themeFill="background1" w:val="clear"/>
            <w:vAlign w:val="center"/>
          </w:tcPr>
          <w:p>
            <w:pPr>
              <w:pStyle w:val="Normal"/>
              <w:widowControl/>
              <w:numPr>
                <w:ilvl w:val="0"/>
                <w:numId w:val="0"/>
              </w:numPr>
              <w:suppressAutoHyphens w:val="false"/>
              <w:spacing w:lineRule="auto" w:line="276" w:before="0" w:after="170"/>
              <w:ind w:left="0" w:right="0" w:hanging="0"/>
              <w:contextualSpacing/>
              <w:jc w:val="center"/>
              <w:rPr>
                <w:rFonts w:ascii="Times new roman" w:hAnsi="Times new roman" w:eastAsia="Times New Roman" w:cs="Calibri"/>
                <w:b w:val="false"/>
                <w:b w:val="false"/>
                <w:bCs w:val="false"/>
                <w:color w:val="00000A"/>
                <w:sz w:val="24"/>
                <w:szCs w:val="24"/>
              </w:rPr>
            </w:pPr>
            <w:r>
              <w:rPr>
                <w:rFonts w:eastAsia="Times New Roman" w:cs="Calibri" w:ascii="Times new roman" w:hAnsi="Times new roman" w:cstheme="minorHAnsi"/>
                <w:b w:val="false"/>
                <w:bCs w:val="false"/>
                <w:i w:val="false"/>
                <w:iCs w:val="false"/>
                <w:color w:val="000000"/>
                <w:sz w:val="24"/>
                <w:szCs w:val="24"/>
              </w:rPr>
              <w:t xml:space="preserve">ADEQUAÇÃO DE </w:t>
            </w:r>
            <w:r>
              <w:rPr>
                <w:rFonts w:eastAsia="Times New Roman" w:cs="Calibri" w:ascii="Times new roman" w:hAnsi="Times new roman" w:cstheme="minorHAnsi"/>
                <w:b w:val="false"/>
                <w:bCs w:val="false"/>
                <w:i w:val="false"/>
                <w:iCs w:val="false"/>
                <w:color w:val="000000"/>
                <w:kern w:val="0"/>
                <w:sz w:val="24"/>
                <w:szCs w:val="24"/>
                <w:lang w:eastAsia="pt-BR" w:bidi="ar-SA"/>
              </w:rPr>
              <w:t>ELÉTRICA DO PAVILHÃO 08 – TRATAMENTO SUPERFICIAL DE ARMAMENTO</w:t>
            </w:r>
            <w:r>
              <w:rPr>
                <w:rFonts w:eastAsia="Times New Roman" w:cs="Calibri" w:ascii="Times new roman" w:hAnsi="Times new roman" w:cstheme="minorHAnsi"/>
                <w:b w:val="false"/>
                <w:bCs w:val="false"/>
                <w:i w:val="false"/>
                <w:iCs w:val="false"/>
                <w:color w:val="000000"/>
                <w:sz w:val="24"/>
                <w:szCs w:val="24"/>
              </w:rPr>
              <w:t xml:space="preserve"> DO PQ R MNT/5</w:t>
            </w:r>
          </w:p>
        </w:tc>
        <w:tc>
          <w:tcPr>
            <w:tcW w:w="3441" w:type="dxa"/>
            <w:tcBorders>
              <w:top w:val="single" w:sz="4" w:space="0" w:color="000001"/>
              <w:left w:val="single" w:sz="4" w:space="0" w:color="000001"/>
              <w:bottom w:val="single" w:sz="4" w:space="0" w:color="000001"/>
              <w:right w:val="single" w:sz="4" w:space="0" w:color="000001"/>
            </w:tcBorders>
            <w:shd w:color="auto" w:fill="FFFFFF" w:themeFill="background1" w:val="clear"/>
            <w:vAlign w:val="center"/>
          </w:tcPr>
          <w:p>
            <w:pPr>
              <w:pStyle w:val="Normal"/>
              <w:widowControl w:val="false"/>
              <w:numPr>
                <w:ilvl w:val="0"/>
                <w:numId w:val="0"/>
              </w:numPr>
              <w:spacing w:lineRule="auto" w:line="276" w:before="0" w:after="170"/>
              <w:ind w:left="0" w:right="0" w:hanging="0"/>
              <w:contextualSpacing/>
              <w:jc w:val="center"/>
              <w:rPr>
                <w:sz w:val="24"/>
                <w:szCs w:val="24"/>
              </w:rPr>
            </w:pPr>
            <w:r>
              <w:rPr>
                <w:rFonts w:cs="Calibri" w:ascii="Times new roman" w:hAnsi="Times new roman" w:cstheme="minorHAnsi"/>
                <w:i w:val="false"/>
                <w:iCs w:val="false"/>
                <w:color w:val="000000"/>
                <w:sz w:val="24"/>
                <w:szCs w:val="24"/>
                <w:u w:val="single"/>
              </w:rPr>
              <w:t>1</w:t>
            </w:r>
          </w:p>
        </w:tc>
      </w:tr>
    </w:tbl>
    <w:p>
      <w:pPr>
        <w:pStyle w:val="ListParagraph"/>
        <w:numPr>
          <w:ilvl w:val="3"/>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Será admitida, para fins de comprovação de quantitativo mínimo do serviço, a apresentação de diferentes atestados de serviços executados de forma concomitante</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Registro ou inscrição da empresa contratada no conselho profissional competente.</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Os atestados de capacidade técnica poderão ser apresentados em nome da matriz ou da filial do Contratado.</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 Contratado disponibilizará todas as informações necessárias à comprovação da legitimidade dos atestados, apresentando, quando solicitado pelo Contratante, cópia do contrato que deu suporte à contratação, endereço atual da empresa que a contratou e local em que foi executado o objeto contratado, dentre outros documentos.</w:t>
      </w:r>
    </w:p>
    <w:p>
      <w:pPr>
        <w:pStyle w:val="ListParagraph"/>
        <w:numPr>
          <w:ilvl w:val="2"/>
          <w:numId w:val="5"/>
        </w:numPr>
        <w:spacing w:lineRule="auto" w:line="276" w:before="0" w:after="170"/>
        <w:ind w:left="0" w:right="0" w:hanging="0"/>
        <w:contextualSpacing/>
        <w:jc w:val="both"/>
        <w:rPr>
          <w:sz w:val="24"/>
          <w:szCs w:val="24"/>
        </w:rPr>
      </w:pPr>
      <w:r>
        <w:rPr>
          <w:rFonts w:eastAsia="Times New Roman" w:cs="Calibri" w:ascii="Times new roman" w:hAnsi="Times new roman" w:cstheme="minorHAnsi"/>
          <w:i w:val="false"/>
          <w:iCs w:val="false"/>
          <w:color w:val="000000"/>
          <w:sz w:val="24"/>
          <w:szCs w:val="24"/>
          <w:u w:val="single"/>
          <w:lang w:eastAsia="pt-BR"/>
        </w:rPr>
        <w:t>Comprovante de Inscrição no Cadastro Técnico Federal de Atividades Potencialmente Poluidoras ou Utilizadoras de Recursos Ambientais, acompanhado do respectivo Certificado de Regularidade válido, nos termos do artigo 17, inciso II, da Lei n° 6.938, de 1981, e da Instrução Normativa IBAMA n° 06, de 15/03/2013, e legislação correlata, para o exercício de atividade de obras civis, classificada como potencialmente poluidora ou utilizadora de recursos ambientais, conforme Anexo I da Instrução Normativa IBAMA n° 06, de 15/03/2013, ou de norma específica (art. 2º, IN 6/2013).</w:t>
      </w:r>
    </w:p>
    <w:p>
      <w:pPr>
        <w:pStyle w:val="ListParagraph"/>
        <w:numPr>
          <w:ilvl w:val="0"/>
          <w:numId w:val="0"/>
        </w:numPr>
        <w:spacing w:lineRule="auto" w:line="276" w:before="0" w:after="170"/>
        <w:ind w:left="0" w:right="0" w:hanging="0"/>
        <w:contextualSpacing/>
        <w:jc w:val="both"/>
        <w:rPr>
          <w:rFonts w:eastAsia="Times New Roman" w:cs="Calibri" w:cstheme="minorHAnsi"/>
          <w:sz w:val="24"/>
          <w:szCs w:val="24"/>
          <w:u w:val="single"/>
          <w:lang w:eastAsia="pt-BR"/>
        </w:rPr>
      </w:pPr>
      <w:r>
        <w:rPr>
          <w:rFonts w:eastAsia="Times New Roman" w:cs="Calibri" w:cstheme="minorHAnsi"/>
          <w:sz w:val="24"/>
          <w:szCs w:val="24"/>
          <w:u w:val="single"/>
          <w:lang w:eastAsia="pt-BR"/>
        </w:rPr>
      </w:r>
    </w:p>
    <w:p>
      <w:pPr>
        <w:pStyle w:val="ListParagraph"/>
        <w:numPr>
          <w:ilvl w:val="0"/>
          <w:numId w:val="5"/>
        </w:numPr>
        <w:spacing w:lineRule="auto" w:line="276" w:before="0" w:after="170"/>
        <w:ind w:left="0" w:right="0" w:hanging="0"/>
        <w:contextualSpacing/>
        <w:jc w:val="both"/>
        <w:rPr>
          <w:sz w:val="24"/>
          <w:szCs w:val="24"/>
        </w:rPr>
      </w:pPr>
      <w:r>
        <w:rPr>
          <w:rFonts w:ascii="Times new roman" w:hAnsi="Times new roman"/>
          <w:i w:val="false"/>
          <w:iCs w:val="false"/>
          <w:color w:val="000000"/>
          <w:sz w:val="24"/>
          <w:szCs w:val="24"/>
        </w:rPr>
        <w:t xml:space="preserve">FORMA E </w:t>
      </w:r>
      <w:r>
        <w:rPr>
          <w:rFonts w:ascii="Times new roman" w:hAnsi="Times new roman"/>
          <w:bCs/>
          <w:i w:val="false"/>
          <w:iCs w:val="false"/>
          <w:color w:val="000000"/>
          <w:sz w:val="24"/>
          <w:szCs w:val="24"/>
        </w:rPr>
        <w:t>CRITÉRIOS</w:t>
      </w:r>
      <w:r>
        <w:rPr>
          <w:rFonts w:ascii="Times new roman" w:hAnsi="Times new roman"/>
          <w:i w:val="false"/>
          <w:iCs w:val="false"/>
          <w:color w:val="000000"/>
          <w:sz w:val="24"/>
          <w:szCs w:val="24"/>
        </w:rPr>
        <w:t xml:space="preserve"> DE SELEÇÃO DO FORNECEDOR (art. 6º, inciso XXIII, alínea ‘h’, da Lei nº 14.133/2021) </w:t>
      </w:r>
    </w:p>
    <w:p>
      <w:pPr>
        <w:pStyle w:val="ListParagraph"/>
        <w:numPr>
          <w:ilvl w:val="0"/>
          <w:numId w:val="0"/>
        </w:numPr>
        <w:spacing w:lineRule="auto" w:line="276" w:before="0" w:after="170"/>
        <w:ind w:left="0" w:right="0" w:hanging="0"/>
        <w:contextualSpacing/>
        <w:jc w:val="both"/>
        <w:rPr>
          <w:sz w:val="24"/>
          <w:szCs w:val="24"/>
        </w:rPr>
      </w:pPr>
      <w:r>
        <w:rPr>
          <w:sz w:val="24"/>
          <w:szCs w:val="24"/>
        </w:rPr>
      </w:r>
    </w:p>
    <w:p>
      <w:pPr>
        <w:pStyle w:val="ListParagraph"/>
        <w:numPr>
          <w:ilvl w:val="1"/>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O fornecedor será selecionado por meio da realização de procedimento de dispensa de licitação, com fundamento na hipótese do art. 75, inciso I, da Lei n.º 14.133/2021 (indicar um dos incisos do art. 75, da Lei n.º 14.133/2021, conforme o caso concreto). </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lang w:eastAsia="ar-SA"/>
        </w:rPr>
        <w:t xml:space="preserve">a) SICAF;  </w:t>
      </w:r>
    </w:p>
    <w:p>
      <w:pPr>
        <w:pStyle w:val="ListParagraph"/>
        <w:numPr>
          <w:ilvl w:val="0"/>
          <w:numId w:val="0"/>
        </w:numPr>
        <w:spacing w:lineRule="auto" w:line="276" w:before="0" w:after="170"/>
        <w:ind w:left="0" w:right="0" w:hanging="0"/>
        <w:contextualSpacing/>
        <w:jc w:val="both"/>
        <w:rPr/>
      </w:pPr>
      <w:r>
        <w:rPr>
          <w:rFonts w:cs="Arial" w:ascii="Times new roman" w:hAnsi="Times new roman"/>
          <w:i w:val="false"/>
          <w:iCs w:val="false"/>
          <w:color w:val="000000"/>
          <w:sz w:val="24"/>
          <w:szCs w:val="24"/>
          <w:lang w:eastAsia="ar-SA"/>
        </w:rPr>
        <w:t>b) Cadastro Nacional de Empresas Inidôneas e Suspensas - CEIS, mantido pela Controladoria-Geral da União (</w:t>
      </w:r>
      <w:hyperlink r:id="rId3">
        <w:r>
          <w:rPr>
            <w:rStyle w:val="LinkdaInternet"/>
            <w:rFonts w:cs="Arial" w:ascii="Times new roman" w:hAnsi="Times new roman"/>
            <w:i w:val="false"/>
            <w:iCs w:val="false"/>
            <w:color w:val="000000"/>
            <w:sz w:val="24"/>
            <w:szCs w:val="24"/>
            <w:lang w:eastAsia="ar-SA"/>
          </w:rPr>
          <w:t>www.portaldatransparencia.gov.br/ceis</w:t>
        </w:r>
      </w:hyperlink>
      <w:r>
        <w:rPr>
          <w:rFonts w:cs="Arial" w:ascii="Times new roman" w:hAnsi="Times new roman"/>
          <w:i w:val="false"/>
          <w:iCs w:val="false"/>
          <w:color w:val="000000"/>
          <w:sz w:val="24"/>
          <w:szCs w:val="24"/>
          <w:lang w:eastAsia="ar-SA"/>
        </w:rPr>
        <w:t>); e</w:t>
      </w:r>
    </w:p>
    <w:p>
      <w:pPr>
        <w:pStyle w:val="ListParagraph"/>
        <w:numPr>
          <w:ilvl w:val="0"/>
          <w:numId w:val="0"/>
        </w:numPr>
        <w:spacing w:lineRule="auto" w:line="276" w:before="0" w:after="170"/>
        <w:ind w:left="0" w:right="0" w:hanging="0"/>
        <w:contextualSpacing/>
        <w:jc w:val="both"/>
        <w:rPr/>
      </w:pPr>
      <w:r>
        <w:rPr>
          <w:rFonts w:cs="Arial" w:ascii="Times new roman" w:hAnsi="Times new roman"/>
          <w:i w:val="false"/>
          <w:iCs w:val="false"/>
          <w:color w:val="000000"/>
          <w:sz w:val="24"/>
          <w:szCs w:val="24"/>
          <w:lang w:eastAsia="ar-SA"/>
        </w:rPr>
        <w:t>c) Cadastro Nacional de Empresas Punidas – CNEP, mantido pela Controladoria-Geral da União (</w:t>
      </w:r>
      <w:hyperlink r:id="rId4">
        <w:r>
          <w:rPr>
            <w:rStyle w:val="LinkdaInternet"/>
            <w:rFonts w:cs="Arial" w:ascii="Times new roman" w:hAnsi="Times new roman"/>
            <w:i w:val="false"/>
            <w:iCs w:val="false"/>
            <w:color w:val="000000"/>
            <w:sz w:val="24"/>
            <w:szCs w:val="24"/>
            <w:lang w:eastAsia="ar-SA"/>
          </w:rPr>
          <w:t>https://www.portaltransparencia.gov.br/sancoes/cnep</w:t>
        </w:r>
      </w:hyperlink>
      <w:r>
        <w:rPr>
          <w:rFonts w:cs="Arial" w:ascii="Times new roman" w:hAnsi="Times new roman"/>
          <w:i w:val="false"/>
          <w:iCs w:val="false"/>
          <w:color w:val="000000"/>
          <w:sz w:val="24"/>
          <w:szCs w:val="24"/>
          <w:lang w:eastAsia="ar-SA"/>
        </w:rPr>
        <w:t>)</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 tentativa de burla será verificada por meio dos vínculos societários, linhas de fornecimento similares, dentre outros.</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O fornecedor será convocado para manifestação previamente a uma eventual negativa de contratação.</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Caso atendidas as condições para contratação, a habilitação do fornecedor será verificada por meio do SICAF, nos documentos por ele abrangidos.</w:t>
      </w:r>
    </w:p>
    <w:p>
      <w:pPr>
        <w:pStyle w:val="ListParagraph"/>
        <w:numPr>
          <w:ilvl w:val="2"/>
          <w:numId w:val="5"/>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É dever do fornecedor manter atualizada a respectiva documentação constante do SICAF, ou encaminhar, quando solicitado pela Administração, a respectiva documentação atualizada.</w:t>
      </w:r>
    </w:p>
    <w:p>
      <w:pPr>
        <w:pStyle w:val="ListParagraph"/>
        <w:numPr>
          <w:ilvl w:val="1"/>
          <w:numId w:val="12"/>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Não serão aceitos documentos de habilitação com indicação de CNPJ/CPF diferentes, salvo aqueles legalmente permitidos.</w:t>
      </w:r>
    </w:p>
    <w:p>
      <w:pPr>
        <w:pStyle w:val="ListParagraph"/>
        <w:numPr>
          <w:ilvl w:val="1"/>
          <w:numId w:val="12"/>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ListParagraph"/>
        <w:numPr>
          <w:ilvl w:val="1"/>
          <w:numId w:val="12"/>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Serão aceitos registros de CNPJ de fornecedor matriz e filial com diferenças de números de documentos pertinentes ao CND e ao CRF/FGTS, quando for comprovada a centralização do recolhimento dessas contribuições.</w:t>
      </w:r>
    </w:p>
    <w:p>
      <w:pPr>
        <w:pStyle w:val="ListParagraph"/>
        <w:numPr>
          <w:ilvl w:val="1"/>
          <w:numId w:val="12"/>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Para fins de contratação, deverá o fornecedor comprovar os seguintes requisitos de habilitação:</w:t>
      </w:r>
    </w:p>
    <w:p>
      <w:pPr>
        <w:pStyle w:val="ListParagraph"/>
        <w:numPr>
          <w:ilvl w:val="1"/>
          <w:numId w:val="12"/>
        </w:numPr>
        <w:spacing w:lineRule="auto" w:line="276" w:before="0" w:after="170"/>
        <w:ind w:left="0" w:right="0" w:hanging="0"/>
        <w:contextualSpacing/>
        <w:jc w:val="both"/>
        <w:rPr>
          <w:sz w:val="24"/>
          <w:szCs w:val="24"/>
        </w:rPr>
      </w:pPr>
      <w:r>
        <w:rPr>
          <w:rFonts w:cs="Arial" w:ascii="Times new roman" w:hAnsi="Times new roman"/>
          <w:b/>
          <w:i w:val="false"/>
          <w:iCs w:val="false"/>
          <w:color w:val="000000"/>
          <w:sz w:val="24"/>
          <w:szCs w:val="24"/>
        </w:rPr>
        <w:t>Habilitação Jurídica</w:t>
      </w:r>
      <w:r>
        <w:rPr>
          <w:rFonts w:cs="Arial" w:ascii="Times new roman" w:hAnsi="Times new roman"/>
          <w:b/>
          <w:bCs/>
          <w:i w:val="false"/>
          <w:iCs w:val="false"/>
          <w:color w:val="000000"/>
          <w:sz w:val="24"/>
          <w:szCs w:val="24"/>
        </w:rPr>
        <w:t xml:space="preserve">: </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b w:val="false"/>
          <w:bCs w:val="false"/>
          <w:i w:val="false"/>
          <w:iCs w:val="false"/>
          <w:color w:val="000000"/>
          <w:sz w:val="24"/>
          <w:szCs w:val="24"/>
        </w:rPr>
        <w:t>11.5.1</w:t>
      </w:r>
      <w:r>
        <w:rPr>
          <w:rFonts w:cs="Arial" w:ascii="Times new roman" w:hAnsi="Times new roman"/>
          <w:b/>
          <w:i w:val="false"/>
          <w:iCs w:val="false"/>
          <w:color w:val="000000"/>
          <w:sz w:val="24"/>
          <w:szCs w:val="24"/>
        </w:rPr>
        <w:t xml:space="preserve"> Pessoa física:</w:t>
      </w:r>
      <w:r>
        <w:rPr>
          <w:rFonts w:cs="Arial" w:ascii="Times new roman" w:hAnsi="Times new roman"/>
          <w:i w:val="false"/>
          <w:iCs w:val="false"/>
          <w:color w:val="000000"/>
          <w:sz w:val="24"/>
          <w:szCs w:val="24"/>
        </w:rPr>
        <w:t xml:space="preserve"> cédula de identidade (RG) ou documento equivalente que, por força de lei, tenha validade para </w:t>
      </w:r>
      <w:r>
        <w:rPr>
          <w:rFonts w:cs="Arial" w:ascii="Times new roman" w:hAnsi="Times new roman"/>
          <w:b/>
          <w:i w:val="false"/>
          <w:iCs w:val="false"/>
          <w:color w:val="000000"/>
          <w:sz w:val="24"/>
          <w:szCs w:val="24"/>
        </w:rPr>
        <w:t>fins</w:t>
      </w:r>
      <w:r>
        <w:rPr>
          <w:rFonts w:cs="Arial" w:ascii="Times new roman" w:hAnsi="Times new roman"/>
          <w:i w:val="false"/>
          <w:iCs w:val="false"/>
          <w:color w:val="000000"/>
          <w:sz w:val="24"/>
          <w:szCs w:val="24"/>
        </w:rPr>
        <w:t xml:space="preserve"> de identificação em todo o território nacional;  </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b w:val="false"/>
          <w:bCs w:val="false"/>
          <w:i w:val="false"/>
          <w:iCs w:val="false"/>
          <w:color w:val="000000"/>
          <w:sz w:val="24"/>
          <w:szCs w:val="24"/>
        </w:rPr>
        <w:t xml:space="preserve">11.5.2 </w:t>
      </w:r>
      <w:r>
        <w:rPr>
          <w:rFonts w:cs="Arial" w:ascii="Times new roman" w:hAnsi="Times new roman"/>
          <w:b/>
          <w:bCs/>
          <w:i w:val="false"/>
          <w:iCs w:val="false"/>
          <w:color w:val="000000"/>
          <w:sz w:val="24"/>
          <w:szCs w:val="24"/>
        </w:rPr>
        <w:t>Empresário individual</w:t>
      </w:r>
      <w:r>
        <w:rPr>
          <w:rFonts w:cs="Arial" w:ascii="Times new roman" w:hAnsi="Times new roman"/>
          <w:i w:val="false"/>
          <w:iCs w:val="false"/>
          <w:color w:val="000000"/>
          <w:sz w:val="24"/>
          <w:szCs w:val="24"/>
        </w:rPr>
        <w:t xml:space="preserve">: inscrição no Registro Público de Empresas Mercantis, a cargo da Junta Comercial da respectiva sede; </w:t>
      </w:r>
    </w:p>
    <w:p>
      <w:pPr>
        <w:pStyle w:val="ListParagraph"/>
        <w:numPr>
          <w:ilvl w:val="0"/>
          <w:numId w:val="0"/>
        </w:numPr>
        <w:spacing w:lineRule="auto" w:line="276" w:before="0" w:after="170"/>
        <w:ind w:left="0" w:right="0" w:hanging="0"/>
        <w:contextualSpacing/>
        <w:jc w:val="both"/>
        <w:rPr/>
      </w:pPr>
      <w:r>
        <w:rPr>
          <w:rFonts w:cs="Arial" w:ascii="Times new roman" w:hAnsi="Times new roman"/>
          <w:b w:val="false"/>
          <w:bCs w:val="false"/>
          <w:i w:val="false"/>
          <w:iCs w:val="false"/>
          <w:color w:val="000000"/>
          <w:sz w:val="24"/>
          <w:szCs w:val="24"/>
        </w:rPr>
        <w:t>11.5.3</w:t>
      </w:r>
      <w:r>
        <w:rPr>
          <w:rFonts w:cs="Arial" w:ascii="Times new roman" w:hAnsi="Times new roman"/>
          <w:b/>
          <w:bCs/>
          <w:i w:val="false"/>
          <w:iCs w:val="false"/>
          <w:color w:val="000000"/>
          <w:sz w:val="24"/>
          <w:szCs w:val="24"/>
        </w:rPr>
        <w:t xml:space="preserve"> Microempreendedor Individual - MEI</w:t>
      </w:r>
      <w:r>
        <w:rPr>
          <w:rFonts w:cs="Arial" w:ascii="Times new roman" w:hAnsi="Times new roman"/>
          <w:i w:val="false"/>
          <w:iCs w:val="false"/>
          <w:color w:val="000000"/>
          <w:sz w:val="24"/>
          <w:szCs w:val="24"/>
        </w:rPr>
        <w:t xml:space="preserve">: Certificado da Condição de Microempreendedor Individual - CCMEI, cuja aceitação ficará condicionada à verificação da autenticidade no sítio </w:t>
      </w:r>
      <w:hyperlink r:id="rId5">
        <w:r>
          <w:rPr>
            <w:rStyle w:val="ListLabel69"/>
            <w:rFonts w:cs="Arial" w:ascii="Times new roman" w:hAnsi="Times new roman"/>
            <w:i w:val="false"/>
            <w:iCs w:val="false"/>
            <w:color w:val="000000"/>
            <w:sz w:val="24"/>
            <w:szCs w:val="24"/>
            <w:u w:val="single"/>
          </w:rPr>
          <w:t>www.portaldoempreendedor.gov.br</w:t>
        </w:r>
      </w:hyperlink>
      <w:r>
        <w:rPr>
          <w:rFonts w:cs="Arial" w:ascii="Times new roman" w:hAnsi="Times new roman"/>
          <w:i w:val="false"/>
          <w:iCs w:val="false"/>
          <w:color w:val="000000"/>
          <w:sz w:val="24"/>
          <w:szCs w:val="24"/>
        </w:rPr>
        <w:t xml:space="preserve">; </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b w:val="false"/>
          <w:bCs w:val="false"/>
          <w:i w:val="false"/>
          <w:iCs w:val="false"/>
          <w:color w:val="000000"/>
          <w:sz w:val="24"/>
          <w:szCs w:val="24"/>
        </w:rPr>
        <w:t>11.5.4</w:t>
      </w:r>
      <w:r>
        <w:rPr>
          <w:rFonts w:cs="Arial" w:ascii="Times new roman" w:hAnsi="Times new roman"/>
          <w:b/>
          <w:bCs/>
          <w:i w:val="false"/>
          <w:iCs w:val="false"/>
          <w:color w:val="000000"/>
          <w:sz w:val="24"/>
          <w:szCs w:val="24"/>
        </w:rPr>
        <w:t xml:space="preserve"> Sociedade empresária, sociedade limitada unipessoal – SLU ou sociedade identificada como empresa individual de responsabilidade limitada - EIRELI</w:t>
      </w:r>
      <w:r>
        <w:rPr>
          <w:rFonts w:cs="Arial" w:ascii="Times new roman" w:hAnsi="Times new roman"/>
          <w:i w:val="false"/>
          <w:iCs w:val="false"/>
          <w:color w:val="000000"/>
          <w:sz w:val="24"/>
          <w:szCs w:val="24"/>
        </w:rPr>
        <w:t>: inscrição do ato constitutivo, estatuto ou contrato social no Registro Público de Empresas Mercantis, a cargo da Junta Comercial da respectiva sede, acompanhada de documento comprobatório de seus administradores;</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b w:val="false"/>
          <w:bCs w:val="false"/>
          <w:i w:val="false"/>
          <w:iCs w:val="false"/>
          <w:color w:val="000000"/>
          <w:sz w:val="24"/>
          <w:szCs w:val="24"/>
        </w:rPr>
        <w:t>11.5.5</w:t>
      </w:r>
      <w:r>
        <w:rPr>
          <w:rFonts w:cs="Arial" w:ascii="Times new roman" w:hAnsi="Times new roman"/>
          <w:b/>
          <w:bCs/>
          <w:i w:val="false"/>
          <w:iCs w:val="false"/>
          <w:color w:val="000000"/>
          <w:sz w:val="24"/>
          <w:szCs w:val="24"/>
        </w:rPr>
        <w:t xml:space="preserve"> Sociedade empresária estrangeira com atuação permanente no País</w:t>
      </w:r>
      <w:r>
        <w:rPr>
          <w:rFonts w:cs="Arial" w:ascii="Times new roman" w:hAnsi="Times new roman"/>
          <w:i w:val="false"/>
          <w:iCs w:val="false"/>
          <w:color w:val="000000"/>
          <w:sz w:val="24"/>
          <w:szCs w:val="24"/>
        </w:rPr>
        <w:t>: decreto de autorização para funcionamento no Brasil;</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b w:val="false"/>
          <w:bCs w:val="false"/>
          <w:i w:val="false"/>
          <w:iCs w:val="false"/>
          <w:color w:val="000000"/>
          <w:sz w:val="24"/>
          <w:szCs w:val="24"/>
        </w:rPr>
        <w:t>11.5.6</w:t>
      </w:r>
      <w:r>
        <w:rPr>
          <w:rFonts w:cs="Arial" w:ascii="Times new roman" w:hAnsi="Times new roman"/>
          <w:b/>
          <w:i w:val="false"/>
          <w:iCs w:val="false"/>
          <w:color w:val="000000"/>
          <w:sz w:val="24"/>
          <w:szCs w:val="24"/>
        </w:rPr>
        <w:t xml:space="preserve"> Sociedade simples</w:t>
      </w:r>
      <w:r>
        <w:rPr>
          <w:rFonts w:cs="Arial" w:ascii="Times new roman" w:hAnsi="Times new roman"/>
          <w:i w:val="false"/>
          <w:iCs w:val="false"/>
          <w:color w:val="000000"/>
          <w:sz w:val="24"/>
          <w:szCs w:val="24"/>
        </w:rPr>
        <w:t>: inscrição do ato constitutivo no Registro Civil de Pessoas Jurídicas do local de sua sede, acompanhada de documento comprobatório de seus administradores;</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b w:val="false"/>
          <w:bCs w:val="false"/>
          <w:i w:val="false"/>
          <w:iCs w:val="false"/>
          <w:color w:val="000000"/>
          <w:sz w:val="24"/>
          <w:szCs w:val="24"/>
        </w:rPr>
        <w:t>11.5.7</w:t>
      </w:r>
      <w:r>
        <w:rPr>
          <w:rFonts w:cs="Arial" w:ascii="Times new roman" w:hAnsi="Times new roman"/>
          <w:b/>
          <w:i w:val="false"/>
          <w:iCs w:val="false"/>
          <w:color w:val="000000"/>
          <w:sz w:val="24"/>
          <w:szCs w:val="24"/>
        </w:rPr>
        <w:t xml:space="preserve"> Filial, sucursal ou agência</w:t>
      </w:r>
      <w:r>
        <w:rPr>
          <w:rFonts w:cs="Arial" w:ascii="Times new roman" w:hAnsi="Times new roman"/>
          <w:i w:val="false"/>
          <w:iCs w:val="false"/>
          <w:color w:val="000000"/>
          <w:sz w:val="24"/>
          <w:szCs w:val="24"/>
        </w:rPr>
        <w:t xml:space="preserve"> </w:t>
      </w:r>
      <w:r>
        <w:rPr>
          <w:rFonts w:cs="Arial" w:ascii="Times new roman" w:hAnsi="Times new roman"/>
          <w:b/>
          <w:i w:val="false"/>
          <w:iCs w:val="false"/>
          <w:color w:val="000000"/>
          <w:sz w:val="24"/>
          <w:szCs w:val="24"/>
        </w:rPr>
        <w:t>de sociedade simples ou empresária</w:t>
      </w:r>
      <w:r>
        <w:rPr>
          <w:rFonts w:cs="Arial" w:ascii="Times new roman" w:hAnsi="Times new roman"/>
          <w:i w:val="false"/>
          <w:iCs w:val="false"/>
          <w:color w:val="000000"/>
          <w:sz w:val="24"/>
          <w:szCs w:val="24"/>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b w:val="false"/>
          <w:bCs w:val="false"/>
          <w:i w:val="false"/>
          <w:iCs w:val="false"/>
          <w:color w:val="000000"/>
          <w:sz w:val="24"/>
          <w:szCs w:val="24"/>
        </w:rPr>
        <w:t>11.5.8</w:t>
      </w:r>
      <w:r>
        <w:rPr>
          <w:rFonts w:cs="Arial" w:ascii="Times new roman" w:hAnsi="Times new roman"/>
          <w:b/>
          <w:i w:val="false"/>
          <w:iCs w:val="false"/>
          <w:color w:val="000000"/>
          <w:sz w:val="24"/>
          <w:szCs w:val="24"/>
        </w:rPr>
        <w:t xml:space="preserve"> Ato de autorização</w:t>
      </w:r>
      <w:r>
        <w:rPr>
          <w:rFonts w:cs="Arial" w:ascii="Times new roman" w:hAnsi="Times new roman"/>
          <w:i w:val="false"/>
          <w:iCs w:val="false"/>
          <w:color w:val="000000"/>
          <w:sz w:val="24"/>
          <w:szCs w:val="24"/>
        </w:rPr>
        <w:t xml:space="preserve"> para o exercício da atividade de ............ (especificar a atividade contratada sujeita à autorização), expedido por ....... (especificar o órgão competente) nos termos do art. ..... da (Lei/Decreto) n° ........</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bCs/>
          <w:i w:val="false"/>
          <w:iCs w:val="false"/>
          <w:color w:val="000000"/>
          <w:sz w:val="24"/>
          <w:szCs w:val="24"/>
        </w:rPr>
        <w:t xml:space="preserve">11.5.9 Os </w:t>
      </w:r>
      <w:r>
        <w:rPr>
          <w:rFonts w:cs="Arial" w:ascii="Times new roman" w:hAnsi="Times new roman"/>
          <w:i w:val="false"/>
          <w:iCs w:val="false"/>
          <w:color w:val="000000"/>
          <w:sz w:val="24"/>
          <w:szCs w:val="24"/>
        </w:rPr>
        <w:t>documentos</w:t>
      </w:r>
      <w:r>
        <w:rPr>
          <w:rFonts w:cs="Arial" w:ascii="Times new roman" w:hAnsi="Times new roman"/>
          <w:bCs/>
          <w:i w:val="false"/>
          <w:iCs w:val="false"/>
          <w:color w:val="000000"/>
          <w:sz w:val="24"/>
          <w:szCs w:val="24"/>
        </w:rPr>
        <w:t xml:space="preserve"> apresentados deverão estar acompanhados de todas as alterações ou da consolidação </w:t>
      </w:r>
      <w:r>
        <w:rPr>
          <w:rFonts w:cs="Arial" w:ascii="Times new roman" w:hAnsi="Times new roman"/>
          <w:i w:val="false"/>
          <w:iCs w:val="false"/>
          <w:color w:val="000000"/>
          <w:sz w:val="24"/>
          <w:szCs w:val="24"/>
        </w:rPr>
        <w:t>respectiva</w:t>
      </w:r>
      <w:r>
        <w:rPr>
          <w:rFonts w:cs="Arial" w:ascii="Times new roman" w:hAnsi="Times new roman"/>
          <w:bCs/>
          <w:i w:val="false"/>
          <w:iCs w:val="false"/>
          <w:color w:val="000000"/>
          <w:sz w:val="24"/>
          <w:szCs w:val="24"/>
        </w:rPr>
        <w:t>.</w:t>
      </w:r>
    </w:p>
    <w:p>
      <w:pPr>
        <w:pStyle w:val="ListParagraph"/>
        <w:numPr>
          <w:ilvl w:val="1"/>
          <w:numId w:val="12"/>
        </w:numPr>
        <w:spacing w:lineRule="auto" w:line="276" w:before="0" w:after="170"/>
        <w:ind w:left="0" w:right="0" w:hanging="0"/>
        <w:contextualSpacing/>
        <w:jc w:val="both"/>
        <w:rPr>
          <w:sz w:val="24"/>
          <w:szCs w:val="24"/>
        </w:rPr>
      </w:pPr>
      <w:r>
        <w:rPr>
          <w:rFonts w:cs="Arial" w:ascii="Times new roman" w:hAnsi="Times new roman"/>
          <w:b/>
          <w:i w:val="false"/>
          <w:iCs w:val="false"/>
          <w:color w:val="000000"/>
          <w:sz w:val="24"/>
          <w:szCs w:val="24"/>
        </w:rPr>
        <w:t>Habilitações fiscal, social e trabalhista:</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bCs/>
          <w:i w:val="false"/>
          <w:iCs w:val="false"/>
          <w:color w:val="000000"/>
          <w:sz w:val="24"/>
          <w:szCs w:val="24"/>
        </w:rPr>
        <w:t>11.6.1 prova</w:t>
      </w:r>
      <w:r>
        <w:rPr>
          <w:rFonts w:cs="Arial" w:ascii="Times new roman" w:hAnsi="Times new roman"/>
          <w:i w:val="false"/>
          <w:iCs w:val="false"/>
          <w:color w:val="000000"/>
          <w:sz w:val="24"/>
          <w:szCs w:val="24"/>
        </w:rPr>
        <w:t xml:space="preserve"> de inscrição no Cadastro de Pessoas Físicas (CPF);</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11.6.2 prova de inscrição no Cadastro Nacional da Pessoa Jurídica (CNPJ);</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11.6.3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11.6.4 prova de regularidade com o Fundo de Garantia do Tempo de Serviço (FGTS);</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11.6.5 declaração de que não emprega menor de 18 anos em trabalho noturno, perigoso ou insalubre e não emprega menor de 16 anos, salvo menor, a partir de 14 anos, na condição de aprendiz, nos termos do artigo 7°, XXXIII, da Constituição;</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11.6.6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11.6.7 prova de inscrição no cadastro de contribuintes municipal ou distrital, se houver, relativo ao domicílio ou sede do fornecedor, pertinente ao seu ramo de atividade e compatível com o objeto contratual; </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11.6.8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 xml:space="preserve">11.6.9 prova de regularidade com a Fazenda Municipal ou Distrital do domicílio ou sede do fornecedor, relativa à atividade em cujo exercício contrata ou concorre; </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11.6.10 caso o fornecedor seja considerado isento dos tributos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ivel1"/>
        <w:numPr>
          <w:ilvl w:val="0"/>
          <w:numId w:val="0"/>
        </w:numPr>
        <w:spacing w:lineRule="auto" w:line="276" w:before="0" w:after="170"/>
        <w:ind w:left="0" w:right="0" w:hanging="0"/>
        <w:contextualSpacing/>
        <w:rPr>
          <w:sz w:val="24"/>
          <w:szCs w:val="24"/>
        </w:rPr>
      </w:pPr>
      <w:r>
        <w:rPr>
          <w:rFonts w:ascii="Times new roman" w:hAnsi="Times new roman"/>
          <w:i w:val="false"/>
          <w:iCs w:val="false"/>
          <w:color w:val="000000"/>
          <w:sz w:val="24"/>
          <w:szCs w:val="24"/>
        </w:rPr>
        <w:t xml:space="preserve">12. ADEQUAÇÃO ORÇAMENTÁRIA </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12.1 As despesas decorrentes da presente contratação correrão à conta de recursos específicos consignados no Orçamento Geral da União.</w:t>
      </w:r>
    </w:p>
    <w:p>
      <w:pPr>
        <w:pStyle w:val="ListParagraph"/>
        <w:numPr>
          <w:ilvl w:val="0"/>
          <w:numId w:val="0"/>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12.1.1 A contratação será atendida pela seguinte dotação:</w:t>
      </w:r>
    </w:p>
    <w:p>
      <w:pPr>
        <w:pStyle w:val="Normal"/>
        <w:spacing w:lineRule="auto" w:line="276" w:before="0" w:after="170"/>
        <w:ind w:left="0" w:right="0" w:hanging="0"/>
        <w:contextualSpacing/>
        <w:jc w:val="both"/>
        <w:rPr>
          <w:rFonts w:ascii="Times new roman" w:hAnsi="Times new roman" w:cs="Arial"/>
          <w:i w:val="false"/>
          <w:i w:val="false"/>
          <w:iCs w:val="false"/>
          <w:color w:val="000000"/>
          <w:sz w:val="24"/>
          <w:szCs w:val="24"/>
        </w:rPr>
      </w:pPr>
      <w:r>
        <w:rPr>
          <w:rFonts w:cs="Arial" w:ascii="Times new roman" w:hAnsi="Times new roman"/>
          <w:i w:val="false"/>
          <w:iCs w:val="false"/>
          <w:color w:val="000000"/>
          <w:sz w:val="24"/>
          <w:szCs w:val="24"/>
        </w:rPr>
      </w:r>
    </w:p>
    <w:p>
      <w:pPr>
        <w:pStyle w:val="Ttulo3"/>
        <w:numPr>
          <w:ilvl w:val="2"/>
          <w:numId w:val="13"/>
        </w:numPr>
        <w:spacing w:lineRule="auto" w:line="276" w:before="0" w:after="170"/>
        <w:ind w:left="0" w:right="0" w:hanging="0"/>
        <w:contextualSpacing/>
        <w:rPr>
          <w:sz w:val="24"/>
          <w:szCs w:val="24"/>
        </w:rPr>
      </w:pPr>
      <w:r>
        <w:rPr>
          <w:rFonts w:cs="Calibri" w:ascii="Times new roman" w:hAnsi="Times new roman" w:cstheme="minorHAnsi"/>
          <w:i w:val="false"/>
          <w:iCs w:val="false"/>
          <w:color w:val="000000"/>
          <w:sz w:val="24"/>
          <w:szCs w:val="24"/>
        </w:rPr>
        <w:t>Gestão/Unidade: (160224 – Parque Regional de Manutenção 5ª Região Militar)</w:t>
      </w:r>
    </w:p>
    <w:p>
      <w:pPr>
        <w:pStyle w:val="Ttulo3"/>
        <w:numPr>
          <w:ilvl w:val="2"/>
          <w:numId w:val="13"/>
        </w:numPr>
        <w:spacing w:lineRule="auto" w:line="276" w:before="0" w:after="170"/>
        <w:ind w:left="0" w:right="0" w:hanging="0"/>
        <w:contextualSpacing/>
        <w:rPr>
          <w:sz w:val="24"/>
          <w:szCs w:val="24"/>
        </w:rPr>
      </w:pPr>
      <w:r>
        <w:rPr>
          <w:rFonts w:cs="Calibri" w:ascii="Times new roman" w:hAnsi="Times new roman" w:cstheme="minorHAnsi"/>
          <w:i w:val="false"/>
          <w:iCs w:val="false"/>
          <w:color w:val="000000"/>
          <w:sz w:val="24"/>
          <w:szCs w:val="24"/>
        </w:rPr>
        <w:t>Fonte de Recursos: (Departamento de Engenharia de Construção)</w:t>
      </w:r>
    </w:p>
    <w:p>
      <w:pPr>
        <w:pStyle w:val="Ttulo3"/>
        <w:numPr>
          <w:ilvl w:val="2"/>
          <w:numId w:val="13"/>
        </w:numPr>
        <w:spacing w:lineRule="auto" w:line="276" w:before="0" w:after="170"/>
        <w:ind w:left="0" w:right="0" w:hanging="0"/>
        <w:contextualSpacing/>
        <w:rPr>
          <w:sz w:val="24"/>
          <w:szCs w:val="24"/>
        </w:rPr>
      </w:pPr>
      <w:r>
        <w:rPr>
          <w:rFonts w:cs="Calibri" w:ascii="Times new roman" w:hAnsi="Times new roman" w:cstheme="minorHAnsi"/>
          <w:i w:val="false"/>
          <w:iCs w:val="false"/>
          <w:color w:val="000000"/>
          <w:sz w:val="24"/>
          <w:szCs w:val="24"/>
        </w:rPr>
        <w:t>Programa de Trabalho: (Ação Orçamentária X – Programa Estratégico Y)</w:t>
      </w:r>
    </w:p>
    <w:p>
      <w:pPr>
        <w:pStyle w:val="Ttulo3"/>
        <w:numPr>
          <w:ilvl w:val="2"/>
          <w:numId w:val="13"/>
        </w:numPr>
        <w:spacing w:lineRule="auto" w:line="276" w:before="0" w:after="170"/>
        <w:ind w:left="0" w:right="0" w:hanging="0"/>
        <w:contextualSpacing/>
        <w:jc w:val="both"/>
        <w:rPr>
          <w:sz w:val="24"/>
          <w:szCs w:val="24"/>
        </w:rPr>
      </w:pPr>
      <w:r>
        <w:rPr>
          <w:rFonts w:cs="Calibri" w:ascii="Times new roman" w:hAnsi="Times new roman" w:cstheme="minorHAnsi"/>
          <w:i w:val="false"/>
          <w:iCs w:val="false"/>
          <w:color w:val="000000"/>
          <w:sz w:val="24"/>
          <w:szCs w:val="24"/>
        </w:rPr>
        <w:t>Elemento de Despesa: (4.4.90.51.00 / 3.3.90.39.00)</w:t>
      </w:r>
    </w:p>
    <w:p>
      <w:pPr>
        <w:pStyle w:val="Ttulo3"/>
        <w:numPr>
          <w:ilvl w:val="2"/>
          <w:numId w:val="13"/>
        </w:numPr>
        <w:spacing w:lineRule="auto" w:line="276" w:before="0" w:after="170"/>
        <w:ind w:left="0" w:right="0" w:hanging="0"/>
        <w:contextualSpacing/>
        <w:jc w:val="both"/>
        <w:rPr>
          <w:sz w:val="24"/>
          <w:szCs w:val="24"/>
        </w:rPr>
      </w:pPr>
      <w:r>
        <w:rPr>
          <w:rFonts w:cs="Arial" w:ascii="Times new roman" w:hAnsi="Times new roman"/>
          <w:i w:val="false"/>
          <w:iCs w:val="false"/>
          <w:color w:val="000000"/>
          <w:sz w:val="24"/>
          <w:szCs w:val="24"/>
        </w:rPr>
        <w:t>A dotação relativa aos exercícios financeiros subsequentes será indicada após aprovação da Lei Orçamentária respectiva e liberação dos créditos correspondentes, mediante apostilamento.</w:t>
      </w:r>
    </w:p>
    <w:p>
      <w:pPr>
        <w:pStyle w:val="Ttulo1"/>
        <w:numPr>
          <w:ilvl w:val="0"/>
          <w:numId w:val="13"/>
        </w:numPr>
        <w:spacing w:lineRule="auto" w:line="276" w:before="0" w:after="170"/>
        <w:ind w:left="0" w:right="0" w:hanging="0"/>
        <w:contextualSpacing/>
        <w:rPr>
          <w:sz w:val="24"/>
          <w:szCs w:val="24"/>
        </w:rPr>
      </w:pPr>
      <w:bookmarkStart w:id="22" w:name="_Toc132103364"/>
      <w:bookmarkStart w:id="23" w:name="_Toc22895955"/>
      <w:r>
        <w:rPr>
          <w:rFonts w:cs="Calibri" w:ascii="Times new roman" w:hAnsi="Times new roman" w:cstheme="minorHAnsi"/>
          <w:i w:val="false"/>
          <w:iCs w:val="false"/>
          <w:color w:val="000000"/>
          <w:sz w:val="24"/>
          <w:szCs w:val="24"/>
        </w:rPr>
        <w:t>ANEXOS</w:t>
      </w:r>
      <w:bookmarkEnd w:id="22"/>
      <w:bookmarkEnd w:id="23"/>
    </w:p>
    <w:p>
      <w:pPr>
        <w:pStyle w:val="Ttulo2"/>
        <w:numPr>
          <w:ilvl w:val="1"/>
          <w:numId w:val="13"/>
        </w:numPr>
        <w:spacing w:lineRule="auto" w:line="276" w:before="0" w:after="170"/>
        <w:ind w:left="0" w:right="0" w:hanging="0"/>
        <w:contextualSpacing/>
        <w:rPr>
          <w:sz w:val="24"/>
          <w:szCs w:val="24"/>
        </w:rPr>
      </w:pPr>
      <w:r>
        <w:rPr>
          <w:rFonts w:cs="Calibri" w:ascii="Times new roman" w:hAnsi="Times new roman" w:cstheme="minorHAnsi"/>
          <w:i w:val="false"/>
          <w:iCs w:val="false"/>
          <w:color w:val="000000"/>
          <w:sz w:val="24"/>
          <w:szCs w:val="24"/>
          <w:u w:val="single"/>
        </w:rPr>
        <w:t>Integram este Termo de Referência, para todos os fins e efeitos, os seguintes Anexos:</w:t>
      </w:r>
    </w:p>
    <w:p>
      <w:pPr>
        <w:pStyle w:val="Ttulo3"/>
        <w:numPr>
          <w:ilvl w:val="2"/>
          <w:numId w:val="13"/>
        </w:numPr>
        <w:spacing w:lineRule="auto" w:line="276" w:before="0" w:after="170"/>
        <w:ind w:left="0" w:right="0" w:hanging="0"/>
        <w:contextualSpacing/>
        <w:rPr/>
      </w:pPr>
      <w:r>
        <w:rPr>
          <w:rFonts w:cs="Calibri" w:ascii="Times new roman" w:hAnsi="Times new roman" w:cstheme="minorHAnsi"/>
          <w:b/>
          <w:i w:val="false"/>
          <w:iCs w:val="false"/>
          <w:color w:val="000000"/>
          <w:sz w:val="24"/>
          <w:szCs w:val="24"/>
          <w:u w:val="single"/>
        </w:rPr>
        <w:t>ANEXO I –</w:t>
      </w:r>
      <w:r>
        <w:rPr>
          <w:rFonts w:cs="Calibri" w:ascii="Times new roman" w:hAnsi="Times new roman" w:cstheme="minorHAnsi"/>
          <w:i w:val="false"/>
          <w:iCs w:val="false"/>
          <w:color w:val="000000"/>
          <w:sz w:val="24"/>
          <w:szCs w:val="24"/>
          <w:u w:val="single"/>
        </w:rPr>
        <w:t xml:space="preserve"> TERMOS DE JUSTIFICATIVAS TÉCNICAS RELEVANTES;</w:t>
      </w:r>
    </w:p>
    <w:p>
      <w:pPr>
        <w:pStyle w:val="Ttulo3"/>
        <w:numPr>
          <w:ilvl w:val="2"/>
          <w:numId w:val="13"/>
        </w:numPr>
        <w:spacing w:lineRule="auto" w:line="276" w:before="0" w:after="170"/>
        <w:ind w:left="0" w:right="0" w:hanging="0"/>
        <w:contextualSpacing/>
        <w:rPr>
          <w:sz w:val="24"/>
          <w:szCs w:val="24"/>
        </w:rPr>
      </w:pPr>
      <w:r>
        <w:rPr>
          <w:rFonts w:cs="Calibri" w:ascii="Times new roman" w:hAnsi="Times new roman" w:cstheme="minorHAnsi"/>
          <w:b/>
          <w:i w:val="false"/>
          <w:iCs w:val="false"/>
          <w:color w:val="000000"/>
          <w:sz w:val="24"/>
          <w:szCs w:val="24"/>
          <w:u w:val="single"/>
        </w:rPr>
        <w:t>ANEXO IV –</w:t>
      </w:r>
      <w:r>
        <w:rPr>
          <w:rFonts w:cs="Calibri" w:ascii="Times new roman" w:hAnsi="Times new roman" w:cstheme="minorHAnsi"/>
          <w:i w:val="false"/>
          <w:iCs w:val="false"/>
          <w:color w:val="000000"/>
          <w:sz w:val="24"/>
          <w:szCs w:val="24"/>
          <w:u w:val="single"/>
        </w:rPr>
        <w:t xml:space="preserve"> PLANILHA ESTIMATIVA DE CUSTOS E FORMAÇÃO DE PREÇOS;</w:t>
      </w:r>
    </w:p>
    <w:p>
      <w:pPr>
        <w:pStyle w:val="Ttulo3"/>
        <w:numPr>
          <w:ilvl w:val="2"/>
          <w:numId w:val="13"/>
        </w:numPr>
        <w:spacing w:lineRule="auto" w:line="276" w:before="0" w:after="170"/>
        <w:ind w:left="0" w:right="0" w:hanging="0"/>
        <w:contextualSpacing/>
        <w:rPr>
          <w:sz w:val="24"/>
          <w:szCs w:val="24"/>
        </w:rPr>
      </w:pPr>
      <w:r>
        <w:rPr>
          <w:rFonts w:cs="Calibri" w:ascii="Times new roman" w:hAnsi="Times new roman" w:cstheme="minorHAnsi"/>
          <w:b/>
          <w:i w:val="false"/>
          <w:iCs w:val="false"/>
          <w:color w:val="000000"/>
          <w:sz w:val="24"/>
          <w:szCs w:val="24"/>
          <w:u w:val="single"/>
        </w:rPr>
        <w:t>ANEXO V –</w:t>
      </w:r>
      <w:r>
        <w:rPr>
          <w:rFonts w:cs="Calibri" w:ascii="Times new roman" w:hAnsi="Times new roman" w:cstheme="minorHAnsi"/>
          <w:i w:val="false"/>
          <w:iCs w:val="false"/>
          <w:color w:val="000000"/>
          <w:sz w:val="24"/>
          <w:szCs w:val="24"/>
          <w:u w:val="single"/>
        </w:rPr>
        <w:t xml:space="preserve"> PLANILHA DE COMPOSIÇÃO DE BDI;</w:t>
      </w:r>
    </w:p>
    <w:p>
      <w:pPr>
        <w:pStyle w:val="Ttulo3"/>
        <w:numPr>
          <w:ilvl w:val="2"/>
          <w:numId w:val="13"/>
        </w:numPr>
        <w:spacing w:lineRule="auto" w:line="276" w:before="0" w:after="170"/>
        <w:ind w:left="0" w:right="0" w:hanging="0"/>
        <w:contextualSpacing/>
        <w:rPr>
          <w:sz w:val="24"/>
          <w:szCs w:val="24"/>
        </w:rPr>
      </w:pPr>
      <w:r>
        <w:rPr>
          <w:rFonts w:cs="Calibri" w:ascii="Times new roman" w:hAnsi="Times new roman" w:cstheme="minorHAnsi"/>
          <w:b/>
          <w:i w:val="false"/>
          <w:iCs w:val="false"/>
          <w:color w:val="000000"/>
          <w:sz w:val="24"/>
          <w:szCs w:val="24"/>
          <w:u w:val="single"/>
        </w:rPr>
        <w:t>ANEXO VI –</w:t>
      </w:r>
      <w:r>
        <w:rPr>
          <w:rFonts w:cs="Calibri" w:ascii="Times new roman" w:hAnsi="Times new roman" w:cstheme="minorHAnsi"/>
          <w:i w:val="false"/>
          <w:iCs w:val="false"/>
          <w:color w:val="000000"/>
          <w:sz w:val="24"/>
          <w:szCs w:val="24"/>
          <w:u w:val="single"/>
        </w:rPr>
        <w:t xml:space="preserve"> CRONOGRAMA FÍSICO-FINANCEIRO;</w:t>
      </w:r>
    </w:p>
    <w:p>
      <w:pPr>
        <w:pStyle w:val="Ttulo3"/>
        <w:numPr>
          <w:ilvl w:val="2"/>
          <w:numId w:val="13"/>
        </w:numPr>
        <w:spacing w:lineRule="auto" w:line="276" w:before="0" w:after="170"/>
        <w:ind w:left="0" w:right="0" w:hanging="0"/>
        <w:contextualSpacing/>
        <w:rPr>
          <w:sz w:val="24"/>
          <w:szCs w:val="24"/>
        </w:rPr>
      </w:pPr>
      <w:r>
        <w:rPr>
          <w:rFonts w:cs="Calibri" w:ascii="Times new roman" w:hAnsi="Times new roman" w:cstheme="minorHAnsi"/>
          <w:b/>
          <w:bCs w:val="false"/>
          <w:i w:val="false"/>
          <w:iCs w:val="false"/>
          <w:color w:val="000000"/>
          <w:sz w:val="24"/>
          <w:szCs w:val="24"/>
          <w:u w:val="single"/>
        </w:rPr>
        <w:t>ANEXO VII</w:t>
      </w:r>
      <w:r>
        <w:rPr>
          <w:rFonts w:cs="Calibri" w:ascii="Times new roman" w:hAnsi="Times new roman" w:cstheme="minorHAnsi"/>
          <w:i w:val="false"/>
          <w:iCs w:val="false"/>
          <w:color w:val="000000"/>
          <w:sz w:val="24"/>
          <w:szCs w:val="24"/>
          <w:u w:val="single"/>
        </w:rPr>
        <w:t xml:space="preserve"> – PROJETOS;</w:t>
      </w:r>
    </w:p>
    <w:p>
      <w:pPr>
        <w:pStyle w:val="Ttulo3"/>
        <w:numPr>
          <w:ilvl w:val="2"/>
          <w:numId w:val="13"/>
        </w:numPr>
        <w:spacing w:lineRule="auto" w:line="276" w:before="0" w:after="170"/>
        <w:ind w:left="0" w:right="0" w:hanging="0"/>
        <w:contextualSpacing/>
        <w:rPr>
          <w:sz w:val="24"/>
          <w:szCs w:val="24"/>
        </w:rPr>
      </w:pPr>
      <w:r>
        <w:rPr>
          <w:rFonts w:cs="Calibri" w:ascii="Times new roman" w:hAnsi="Times new roman" w:cstheme="minorHAnsi"/>
          <w:b/>
          <w:i w:val="false"/>
          <w:iCs w:val="false"/>
          <w:color w:val="000000"/>
          <w:sz w:val="24"/>
          <w:szCs w:val="24"/>
          <w:u w:val="single"/>
        </w:rPr>
        <w:t>ANEXO VIII –</w:t>
      </w:r>
      <w:r>
        <w:rPr>
          <w:rFonts w:cs="Calibri" w:ascii="Times new roman" w:hAnsi="Times new roman" w:cstheme="minorHAnsi"/>
          <w:i w:val="false"/>
          <w:iCs w:val="false"/>
          <w:color w:val="000000"/>
          <w:sz w:val="24"/>
          <w:szCs w:val="24"/>
          <w:u w:val="single"/>
        </w:rPr>
        <w:t xml:space="preserve"> ESTUDOS PRELIMINARES; e</w:t>
      </w:r>
    </w:p>
    <w:p>
      <w:pPr>
        <w:pStyle w:val="Ttulo3"/>
        <w:numPr>
          <w:ilvl w:val="2"/>
          <w:numId w:val="13"/>
        </w:numPr>
        <w:spacing w:lineRule="auto" w:line="276" w:before="0" w:after="170"/>
        <w:ind w:left="0" w:right="0" w:hanging="0"/>
        <w:contextualSpacing/>
        <w:rPr>
          <w:sz w:val="24"/>
          <w:szCs w:val="24"/>
        </w:rPr>
      </w:pPr>
      <w:r>
        <w:rPr>
          <w:rFonts w:cs="Calibri" w:ascii="Times new roman" w:hAnsi="Times new roman" w:cstheme="minorHAnsi"/>
          <w:b/>
          <w:i w:val="false"/>
          <w:iCs w:val="false"/>
          <w:color w:val="000000"/>
          <w:sz w:val="24"/>
          <w:szCs w:val="24"/>
          <w:u w:val="single"/>
        </w:rPr>
        <w:t>ANEXO IX –</w:t>
      </w:r>
      <w:r>
        <w:rPr>
          <w:rFonts w:cs="Calibri" w:ascii="Times new roman" w:hAnsi="Times new roman" w:cstheme="minorHAnsi"/>
          <w:i w:val="false"/>
          <w:iCs w:val="false"/>
          <w:color w:val="000000"/>
          <w:sz w:val="24"/>
          <w:szCs w:val="24"/>
          <w:u w:val="single"/>
        </w:rPr>
        <w:t xml:space="preserve"> DOCUMENTOS REFERENTES À RESPONSABILIDADE TÉCNICA (ART/RRT REFERENTES À TOTALIDADE DAS PEÇAS TÉCNICAS PRODUZIDAS POR PROFISSIONAL HABILITADO, CONSOANTE PREVISÃO DO ART. 10 DO DECRETO Nº 7983/2013)</w:t>
      </w:r>
      <w:r>
        <w:rPr>
          <w:rFonts w:cs="Calibri" w:ascii="Times new roman" w:hAnsi="Times new roman" w:cstheme="minorHAnsi"/>
          <w:i w:val="false"/>
          <w:iCs w:val="false"/>
          <w:color w:val="000000"/>
          <w:sz w:val="24"/>
          <w:szCs w:val="24"/>
        </w:rPr>
        <w:t>.</w:t>
      </w:r>
    </w:p>
    <w:p>
      <w:pPr>
        <w:pStyle w:val="Normal"/>
        <w:spacing w:lineRule="auto" w:line="276" w:before="0" w:after="170"/>
        <w:ind w:left="0" w:right="0" w:hanging="0"/>
        <w:contextualSpacing/>
        <w:jc w:val="both"/>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jc w:val="both"/>
        <w:rPr>
          <w:rFonts w:ascii="Times new roman" w:hAnsi="Times new roman"/>
          <w:i w:val="false"/>
          <w:i w:val="false"/>
          <w:iCs w:val="false"/>
          <w:color w:val="000000"/>
          <w:sz w:val="24"/>
          <w:szCs w:val="24"/>
        </w:rPr>
      </w:pPr>
      <w:r>
        <w:rPr>
          <w:rFonts w:ascii="Times new roman" w:hAnsi="Times new roman"/>
          <w:i w:val="false"/>
          <w:iCs w:val="false"/>
          <w:color w:val="000000"/>
          <w:sz w:val="24"/>
          <w:szCs w:val="24"/>
        </w:rPr>
      </w:r>
    </w:p>
    <w:p>
      <w:pPr>
        <w:pStyle w:val="Normal"/>
        <w:spacing w:lineRule="auto" w:line="276" w:before="0" w:after="170"/>
        <w:ind w:left="0" w:right="0" w:hanging="0"/>
        <w:contextualSpacing/>
        <w:jc w:val="right"/>
        <w:rPr>
          <w:sz w:val="24"/>
          <w:szCs w:val="24"/>
        </w:rPr>
      </w:pPr>
      <w:r>
        <w:rPr>
          <w:rFonts w:cs="Calibri" w:ascii="Times new roman" w:hAnsi="Times new roman" w:cstheme="minorHAnsi"/>
          <w:i w:val="false"/>
          <w:iCs w:val="false"/>
          <w:color w:val="000000"/>
          <w:sz w:val="24"/>
          <w:szCs w:val="24"/>
        </w:rPr>
        <w:t>Município de Curitiba, PR, 16 de outubro de 2023.</w:t>
      </w:r>
    </w:p>
    <w:p>
      <w:pPr>
        <w:pStyle w:val="Normal"/>
        <w:spacing w:lineRule="auto" w:line="276" w:before="0" w:after="170"/>
        <w:ind w:left="0" w:right="0" w:hanging="0"/>
        <w:contextualSpacing/>
        <w:rPr>
          <w:rFonts w:cs="Arial"/>
          <w:sz w:val="24"/>
          <w:szCs w:val="24"/>
        </w:rPr>
      </w:pPr>
      <w:r>
        <w:rPr>
          <w:rFonts w:cs="Arial"/>
          <w:sz w:val="24"/>
          <w:szCs w:val="24"/>
        </w:rPr>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rPr>
      </w:pPr>
      <w:r>
        <w:rPr>
          <w:rFonts w:cs="Calibri" w:cstheme="minorHAnsi" w:ascii="Times new roman" w:hAnsi="Times new roman"/>
          <w:i w:val="false"/>
          <w:iCs w:val="false"/>
          <w:color w:val="000000"/>
        </w:rPr>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rPr>
      </w:pPr>
      <w:r>
        <w:rPr>
          <w:rFonts w:cs="Calibri" w:cstheme="minorHAnsi" w:ascii="Times new roman" w:hAnsi="Times new roman"/>
          <w:i w:val="false"/>
          <w:iCs w:val="false"/>
          <w:color w:val="000000"/>
        </w:rPr>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rPr>
      </w:pPr>
      <w:r>
        <w:rPr>
          <w:rFonts w:cs="Calibri" w:cstheme="minorHAnsi" w:ascii="Times new roman" w:hAnsi="Times new roman"/>
          <w:i w:val="false"/>
          <w:iCs w:val="false"/>
          <w:color w:val="000000"/>
        </w:rPr>
      </w:r>
    </w:p>
    <w:p>
      <w:pPr>
        <w:pStyle w:val="Normal"/>
        <w:spacing w:lineRule="auto" w:line="276" w:before="0" w:after="170"/>
        <w:ind w:left="0" w:right="0" w:hanging="0"/>
        <w:contextualSpacing/>
        <w:rPr>
          <w:sz w:val="24"/>
          <w:szCs w:val="24"/>
        </w:rPr>
      </w:pPr>
      <w:r>
        <w:rPr>
          <w:rFonts w:cs="Calibri" w:ascii="Times new roman" w:hAnsi="Times new roman" w:cstheme="minorHAnsi"/>
          <w:i w:val="false"/>
          <w:iCs w:val="false"/>
          <w:color w:val="000000"/>
          <w:sz w:val="24"/>
          <w:szCs w:val="24"/>
        </w:rPr>
        <w:t>Autor:</w:t>
      </w:r>
    </w:p>
    <w:p>
      <w:pPr>
        <w:pStyle w:val="Normal"/>
        <w:spacing w:lineRule="auto" w:line="276" w:before="0" w:after="170"/>
        <w:ind w:left="0" w:right="0" w:hanging="0"/>
        <w:contextualSpacing/>
        <w:jc w:val="center"/>
        <w:rPr>
          <w:rFonts w:ascii="Times new roman" w:hAnsi="Times new roman"/>
          <w:i w:val="false"/>
          <w:i w:val="false"/>
          <w:iCs w:val="false"/>
          <w:color w:val="000000"/>
          <w:sz w:val="24"/>
          <w:szCs w:val="24"/>
        </w:rPr>
      </w:pPr>
      <w:r>
        <w:rPr>
          <w:rFonts w:ascii="Times new roman" w:hAnsi="Times new roman"/>
          <w:i w:val="false"/>
          <w:iCs w:val="false"/>
          <w:color w:val="000000"/>
          <w:sz w:val="24"/>
          <w:szCs w:val="24"/>
        </w:rPr>
      </w:r>
    </w:p>
    <w:p>
      <w:pPr>
        <w:pStyle w:val="Normal"/>
        <w:spacing w:lineRule="auto" w:line="276" w:before="0" w:after="170"/>
        <w:ind w:left="0" w:right="0" w:hanging="0"/>
        <w:contextualSpacing/>
        <w:jc w:val="center"/>
        <w:rPr>
          <w:rFonts w:ascii="Times new roman" w:hAnsi="Times new roman"/>
          <w:i w:val="false"/>
          <w:i w:val="false"/>
          <w:iCs w:val="false"/>
          <w:color w:val="000000"/>
          <w:sz w:val="24"/>
          <w:szCs w:val="24"/>
        </w:rPr>
      </w:pPr>
      <w:r>
        <w:rPr>
          <w:rFonts w:ascii="Times new roman" w:hAnsi="Times new roman"/>
          <w:i w:val="false"/>
          <w:iCs w:val="false"/>
          <w:color w:val="000000"/>
          <w:sz w:val="24"/>
          <w:szCs w:val="24"/>
        </w:rPr>
      </w:r>
    </w:p>
    <w:p>
      <w:pPr>
        <w:pStyle w:val="Normal"/>
        <w:spacing w:lineRule="auto" w:line="276" w:before="0" w:after="170"/>
        <w:ind w:left="0" w:right="0" w:hanging="0"/>
        <w:contextualSpacing/>
        <w:jc w:val="center"/>
        <w:rPr>
          <w:sz w:val="24"/>
          <w:szCs w:val="24"/>
        </w:rPr>
      </w:pPr>
      <w:r>
        <w:rPr>
          <w:rFonts w:cs="Calibri" w:ascii="Times new roman" w:hAnsi="Times new roman" w:cstheme="minorHAnsi"/>
          <w:i w:val="false"/>
          <w:iCs w:val="false"/>
          <w:color w:val="000000"/>
          <w:sz w:val="24"/>
          <w:szCs w:val="24"/>
        </w:rPr>
        <w:t>DANUTA LUCIA DOS SANTOS MAIA DE CARVALHO – 3º SARGENTO</w:t>
      </w:r>
    </w:p>
    <w:p>
      <w:pPr>
        <w:pStyle w:val="Normal"/>
        <w:spacing w:lineRule="auto" w:line="276" w:before="0" w:after="170"/>
        <w:ind w:left="0" w:right="0" w:hanging="0"/>
        <w:contextualSpacing/>
        <w:jc w:val="center"/>
        <w:rPr>
          <w:sz w:val="24"/>
          <w:szCs w:val="24"/>
        </w:rPr>
      </w:pPr>
      <w:r>
        <w:rPr>
          <w:rFonts w:cs="Calibri" w:ascii="Times new roman" w:hAnsi="Times new roman" w:cstheme="minorHAnsi"/>
          <w:i w:val="false"/>
          <w:iCs w:val="false"/>
          <w:color w:val="000000"/>
          <w:sz w:val="24"/>
          <w:szCs w:val="24"/>
        </w:rPr>
        <w:t>Chefe da Seção de Manutenção das Instalações</w:t>
      </w:r>
    </w:p>
    <w:p>
      <w:pPr>
        <w:pStyle w:val="Normal"/>
        <w:spacing w:lineRule="auto" w:line="276" w:before="0" w:after="170"/>
        <w:ind w:left="0" w:right="0" w:hanging="0"/>
        <w:contextualSpacing/>
        <w:jc w:val="center"/>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jc w:val="center"/>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jc w:val="center"/>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jc w:val="center"/>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rPr>
          <w:sz w:val="24"/>
          <w:szCs w:val="24"/>
        </w:rPr>
      </w:pPr>
      <w:r>
        <w:rPr>
          <w:rFonts w:cs="Calibri" w:ascii="Times new roman" w:hAnsi="Times new roman" w:cstheme="minorHAnsi"/>
          <w:i w:val="false"/>
          <w:iCs w:val="false"/>
          <w:color w:val="000000"/>
          <w:sz w:val="24"/>
          <w:szCs w:val="24"/>
        </w:rPr>
        <w:t>Revisado por:</w:t>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widowControl/>
        <w:spacing w:lineRule="auto" w:line="276" w:before="0" w:after="170"/>
        <w:ind w:left="0" w:right="0" w:hanging="0"/>
        <w:contextualSpacing/>
        <w:jc w:val="center"/>
        <w:rPr>
          <w:sz w:val="24"/>
          <w:szCs w:val="24"/>
        </w:rPr>
      </w:pPr>
      <w:r>
        <w:rPr>
          <w:rStyle w:val="Fontepargpadro"/>
          <w:rFonts w:eastAsia="Segoe UI" w:cs="Liberation Serif;Times New Roman" w:ascii="Liberation Sans" w:hAnsi="Liberation Sans"/>
          <w:b w:val="false"/>
          <w:bCs w:val="false"/>
          <w:i w:val="false"/>
          <w:iCs w:val="false"/>
          <w:color w:val="000000"/>
          <w:kern w:val="0"/>
          <w:sz w:val="24"/>
          <w:szCs w:val="24"/>
          <w:lang w:val="pt-BR" w:eastAsia="pt-BR" w:bidi="ar-SA"/>
        </w:rPr>
        <w:t xml:space="preserve">JOSÉ LAURO DE OLIVEIRA </w:t>
      </w:r>
      <w:r>
        <w:rPr>
          <w:rStyle w:val="Fontepargpadro"/>
          <w:rFonts w:eastAsia="Segoe UI" w:cs="Liberation Serif;Times New Roman" w:ascii="Liberation Sans" w:hAnsi="Liberation Sans"/>
          <w:b/>
          <w:bCs/>
          <w:i w:val="false"/>
          <w:iCs w:val="false"/>
          <w:color w:val="000000"/>
          <w:kern w:val="0"/>
          <w:sz w:val="24"/>
          <w:szCs w:val="24"/>
          <w:lang w:val="pt-BR" w:eastAsia="pt-BR" w:bidi="ar-SA"/>
        </w:rPr>
        <w:t xml:space="preserve">SCHRAM </w:t>
      </w:r>
      <w:r>
        <w:rPr>
          <w:rStyle w:val="Fontepargpadro"/>
          <w:rFonts w:eastAsia="Segoe UI" w:cs="Liberation Serif;Times New Roman" w:ascii="Liberation Sans" w:hAnsi="Liberation Sans"/>
          <w:b w:val="false"/>
          <w:bCs w:val="false"/>
          <w:i w:val="false"/>
          <w:iCs w:val="false"/>
          <w:color w:val="000000"/>
          <w:kern w:val="0"/>
          <w:sz w:val="24"/>
          <w:szCs w:val="24"/>
          <w:lang w:val="pt-BR" w:eastAsia="pt-BR" w:bidi="ar-SA"/>
        </w:rPr>
        <w:t>– 1º Ten</w:t>
      </w:r>
    </w:p>
    <w:p>
      <w:pPr>
        <w:pStyle w:val="Normal"/>
        <w:widowControl/>
        <w:tabs>
          <w:tab w:val="clear" w:pos="708"/>
          <w:tab w:val="left" w:pos="4080" w:leader="none"/>
        </w:tabs>
        <w:spacing w:lineRule="auto" w:line="276" w:before="0" w:after="170"/>
        <w:ind w:left="0" w:right="0" w:hanging="0"/>
        <w:contextualSpacing/>
        <w:jc w:val="center"/>
        <w:rPr>
          <w:sz w:val="24"/>
          <w:szCs w:val="24"/>
        </w:rPr>
      </w:pPr>
      <w:r>
        <w:rPr>
          <w:rFonts w:eastAsia="Segoe UI" w:cs="Calibri" w:ascii="Times new roman" w:hAnsi="Times new roman" w:cstheme="minorHAnsi"/>
          <w:i w:val="false"/>
          <w:iCs w:val="false"/>
          <w:color w:val="000000"/>
          <w:kern w:val="0"/>
          <w:sz w:val="24"/>
          <w:szCs w:val="24"/>
          <w:lang w:val="pt-BR" w:eastAsia="pt-BR" w:bidi="ar-SA"/>
        </w:rPr>
        <w:t xml:space="preserve">Chefe do P8º  </w:t>
      </w:r>
    </w:p>
    <w:p>
      <w:pPr>
        <w:pStyle w:val="Normal"/>
        <w:spacing w:lineRule="auto" w:line="276" w:before="0" w:after="170"/>
        <w:ind w:left="0" w:right="0" w:hanging="0"/>
        <w:contextualSpacing/>
        <w:jc w:val="left"/>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jc w:val="left"/>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jc w:val="left"/>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jc w:val="left"/>
        <w:rPr>
          <w:sz w:val="24"/>
          <w:szCs w:val="24"/>
        </w:rPr>
      </w:pPr>
      <w:r>
        <w:rPr>
          <w:rFonts w:cs="Calibri" w:ascii="Times new roman" w:hAnsi="Times new roman" w:cstheme="minorHAnsi"/>
          <w:i w:val="false"/>
          <w:iCs w:val="false"/>
          <w:color w:val="000000"/>
          <w:sz w:val="24"/>
          <w:szCs w:val="24"/>
        </w:rPr>
        <w:t>De acordo:</w:t>
      </w:r>
    </w:p>
    <w:p>
      <w:pPr>
        <w:pStyle w:val="Normal"/>
        <w:spacing w:lineRule="auto" w:line="276" w:before="0" w:after="170"/>
        <w:ind w:left="0" w:right="0" w:hanging="0"/>
        <w:contextualSpacing/>
        <w:jc w:val="left"/>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jc w:val="left"/>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widowControl/>
        <w:spacing w:lineRule="auto" w:line="276" w:before="0" w:after="170"/>
        <w:ind w:left="0" w:right="0" w:hanging="0"/>
        <w:contextualSpacing/>
        <w:jc w:val="center"/>
        <w:rPr>
          <w:sz w:val="24"/>
          <w:szCs w:val="24"/>
        </w:rPr>
      </w:pPr>
      <w:r>
        <w:rPr>
          <w:rFonts w:eastAsia="Segoe UI" w:cs="Calibri" w:ascii="Times new roman" w:hAnsi="Times new roman"/>
          <w:i w:val="false"/>
          <w:iCs w:val="false"/>
          <w:color w:val="000000"/>
          <w:kern w:val="0"/>
          <w:sz w:val="24"/>
          <w:szCs w:val="24"/>
          <w:shd w:fill="F2F2EE" w:val="clear"/>
          <w:lang w:val="pt-BR" w:eastAsia="pt-BR" w:bidi="ar-SA"/>
        </w:rPr>
        <w:t xml:space="preserve">MAURÍCIO RIBEIRO DE </w:t>
      </w:r>
      <w:r>
        <w:rPr>
          <w:rFonts w:eastAsia="Segoe UI" w:cs="Calibri" w:ascii="Times new roman" w:hAnsi="Times new roman"/>
          <w:b/>
          <w:bCs/>
          <w:i w:val="false"/>
          <w:iCs w:val="false"/>
          <w:color w:val="000000"/>
          <w:kern w:val="0"/>
          <w:sz w:val="24"/>
          <w:szCs w:val="24"/>
          <w:shd w:fill="F2F2EE" w:val="clear"/>
          <w:lang w:val="pt-BR" w:eastAsia="pt-BR" w:bidi="ar-SA"/>
        </w:rPr>
        <w:t>ARAÚJO</w:t>
      </w:r>
      <w:r>
        <w:rPr>
          <w:rFonts w:eastAsia="Segoe UI" w:cs="Calibri" w:ascii="Times new roman" w:hAnsi="Times new roman" w:cstheme="minorHAnsi"/>
          <w:i w:val="false"/>
          <w:iCs w:val="false"/>
          <w:color w:val="000000"/>
          <w:kern w:val="0"/>
          <w:sz w:val="24"/>
          <w:szCs w:val="24"/>
          <w:lang w:val="pt-BR" w:eastAsia="pt-BR" w:bidi="ar-SA"/>
        </w:rPr>
        <w:t xml:space="preserve">  – Tenente-Coronel</w:t>
      </w:r>
    </w:p>
    <w:p>
      <w:pPr>
        <w:pStyle w:val="Normal"/>
        <w:widowControl/>
        <w:spacing w:lineRule="auto" w:line="276" w:before="0" w:after="170"/>
        <w:ind w:left="0" w:right="0" w:hanging="0"/>
        <w:contextualSpacing/>
        <w:jc w:val="center"/>
        <w:rPr>
          <w:sz w:val="24"/>
          <w:szCs w:val="24"/>
        </w:rPr>
      </w:pPr>
      <w:r>
        <w:rPr>
          <w:rFonts w:eastAsia="Segoe UI" w:cs="Calibri" w:ascii="Times new roman" w:hAnsi="Times new roman" w:cstheme="minorHAnsi"/>
          <w:i w:val="false"/>
          <w:iCs w:val="false"/>
          <w:color w:val="000000"/>
          <w:kern w:val="0"/>
          <w:sz w:val="24"/>
          <w:szCs w:val="24"/>
          <w:lang w:val="pt-BR" w:eastAsia="pt-BR" w:bidi="ar-SA"/>
        </w:rPr>
        <w:t>Fiscal Administrativo</w:t>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rPr>
          <w:rFonts w:ascii="Times new roman" w:hAnsi="Times new roman" w:cs="Calibri" w:cstheme="minorHAnsi"/>
          <w:i w:val="false"/>
          <w:i w:val="false"/>
          <w:iCs w:val="false"/>
          <w:color w:val="000000"/>
          <w:sz w:val="24"/>
          <w:szCs w:val="24"/>
        </w:rPr>
      </w:pPr>
      <w:r>
        <w:rPr>
          <w:rFonts w:cs="Calibri" w:cstheme="minorHAnsi" w:ascii="Times new roman" w:hAnsi="Times new roman"/>
          <w:i w:val="false"/>
          <w:iCs w:val="false"/>
          <w:color w:val="000000"/>
          <w:sz w:val="24"/>
          <w:szCs w:val="24"/>
        </w:rPr>
      </w:r>
    </w:p>
    <w:p>
      <w:pPr>
        <w:pStyle w:val="Normal"/>
        <w:spacing w:lineRule="auto" w:line="276" w:before="0" w:after="170"/>
        <w:ind w:left="0" w:right="0" w:hanging="0"/>
        <w:contextualSpacing/>
        <w:jc w:val="left"/>
        <w:rPr>
          <w:sz w:val="24"/>
          <w:szCs w:val="24"/>
        </w:rPr>
      </w:pPr>
      <w:r>
        <w:rPr>
          <w:rFonts w:cs="Calibri" w:ascii="Times new roman" w:hAnsi="Times new roman" w:cstheme="minorHAnsi"/>
          <w:i w:val="false"/>
          <w:iCs w:val="false"/>
          <w:color w:val="000000"/>
          <w:sz w:val="24"/>
          <w:szCs w:val="24"/>
        </w:rPr>
        <w:t>Aprovado por:</w:t>
      </w:r>
    </w:p>
    <w:p>
      <w:pPr>
        <w:pStyle w:val="Normal"/>
        <w:spacing w:lineRule="auto" w:line="276" w:before="0" w:after="170"/>
        <w:ind w:left="0" w:right="0" w:hanging="0"/>
        <w:contextualSpacing/>
        <w:jc w:val="center"/>
        <w:rPr>
          <w:rFonts w:ascii="Times new roman" w:hAnsi="Times new roman"/>
          <w:i w:val="false"/>
          <w:i w:val="false"/>
          <w:iCs w:val="false"/>
          <w:color w:val="000000"/>
          <w:sz w:val="24"/>
          <w:szCs w:val="24"/>
        </w:rPr>
      </w:pPr>
      <w:r>
        <w:rPr>
          <w:rFonts w:ascii="Times new roman" w:hAnsi="Times new roman"/>
          <w:i w:val="false"/>
          <w:iCs w:val="false"/>
          <w:color w:val="000000"/>
          <w:sz w:val="24"/>
          <w:szCs w:val="24"/>
        </w:rPr>
      </w:r>
    </w:p>
    <w:p>
      <w:pPr>
        <w:pStyle w:val="Normal"/>
        <w:spacing w:lineRule="auto" w:line="276" w:before="0" w:after="170"/>
        <w:ind w:left="0" w:right="0" w:hanging="0"/>
        <w:contextualSpacing/>
        <w:jc w:val="center"/>
        <w:rPr>
          <w:rFonts w:ascii="Times new roman" w:hAnsi="Times new roman"/>
          <w:i w:val="false"/>
          <w:i w:val="false"/>
          <w:iCs w:val="false"/>
          <w:color w:val="000000"/>
          <w:sz w:val="24"/>
          <w:szCs w:val="24"/>
        </w:rPr>
      </w:pPr>
      <w:r>
        <w:rPr>
          <w:rFonts w:ascii="Times new roman" w:hAnsi="Times new roman"/>
          <w:i w:val="false"/>
          <w:iCs w:val="false"/>
          <w:color w:val="000000"/>
          <w:sz w:val="24"/>
          <w:szCs w:val="24"/>
        </w:rPr>
      </w:r>
    </w:p>
    <w:p>
      <w:pPr>
        <w:pStyle w:val="Normal"/>
        <w:spacing w:lineRule="auto" w:line="276" w:before="0" w:after="170"/>
        <w:ind w:left="0" w:right="0" w:hanging="0"/>
        <w:contextualSpacing/>
        <w:jc w:val="center"/>
        <w:rPr>
          <w:sz w:val="24"/>
          <w:szCs w:val="24"/>
        </w:rPr>
      </w:pPr>
      <w:r>
        <w:rPr>
          <w:rFonts w:cs="Calibri" w:ascii="Times new roman" w:hAnsi="Times new roman"/>
          <w:i w:val="false"/>
          <w:iCs w:val="false"/>
          <w:color w:val="000000"/>
          <w:sz w:val="24"/>
          <w:szCs w:val="24"/>
          <w:shd w:fill="F2F2EE" w:val="clear"/>
        </w:rPr>
        <w:t xml:space="preserve">MARCELO </w:t>
      </w:r>
      <w:r>
        <w:rPr>
          <w:rFonts w:cs="Calibri" w:ascii="Times new roman" w:hAnsi="Times new roman"/>
          <w:b/>
          <w:bCs/>
          <w:i w:val="false"/>
          <w:iCs w:val="false"/>
          <w:color w:val="000000"/>
          <w:sz w:val="24"/>
          <w:szCs w:val="24"/>
          <w:shd w:fill="F2F2EE" w:val="clear"/>
        </w:rPr>
        <w:t>VANNI</w:t>
      </w:r>
      <w:r>
        <w:rPr>
          <w:rFonts w:cs="Calibri" w:ascii="Times new roman" w:hAnsi="Times new roman"/>
          <w:i w:val="false"/>
          <w:iCs w:val="false"/>
          <w:color w:val="000000"/>
          <w:sz w:val="24"/>
          <w:szCs w:val="24"/>
          <w:shd w:fill="F2F2EE" w:val="clear"/>
        </w:rPr>
        <w:t xml:space="preserve"> </w:t>
      </w:r>
      <w:r>
        <w:rPr>
          <w:rFonts w:cs="Calibri" w:ascii="Times new roman" w:hAnsi="Times new roman" w:cstheme="minorHAnsi"/>
          <w:i w:val="false"/>
          <w:iCs w:val="false"/>
          <w:color w:val="000000"/>
          <w:sz w:val="24"/>
          <w:szCs w:val="24"/>
        </w:rPr>
        <w:t>– Tenente-Coronel</w:t>
      </w:r>
    </w:p>
    <w:p>
      <w:pPr>
        <w:pStyle w:val="Normal"/>
        <w:spacing w:lineRule="auto" w:line="276" w:before="0" w:after="170"/>
        <w:ind w:left="0" w:right="0" w:hanging="0"/>
        <w:contextualSpacing/>
        <w:jc w:val="center"/>
        <w:rPr>
          <w:sz w:val="24"/>
          <w:szCs w:val="24"/>
        </w:rPr>
      </w:pPr>
      <w:r>
        <w:rPr>
          <w:rFonts w:cs="Calibri" w:ascii="Times new roman" w:hAnsi="Times new roman" w:cstheme="minorHAnsi"/>
          <w:i w:val="false"/>
          <w:iCs w:val="false"/>
          <w:color w:val="000000"/>
          <w:sz w:val="24"/>
          <w:szCs w:val="24"/>
        </w:rPr>
        <w:t>Diretor do Parque Regional de Manutenção 5</w:t>
      </w:r>
    </w:p>
    <w:p>
      <w:pPr>
        <w:pStyle w:val="Normal"/>
        <w:spacing w:lineRule="auto" w:line="276" w:before="0" w:after="170"/>
        <w:ind w:left="0" w:right="0" w:hanging="0"/>
        <w:contextualSpacing/>
        <w:jc w:val="center"/>
        <w:rPr/>
      </w:pPr>
      <w:r>
        <w:rPr>
          <w:rFonts w:cs="Calibri" w:ascii="Times new roman" w:hAnsi="Times new roman" w:cstheme="minorHAnsi"/>
          <w:i w:val="false"/>
          <w:iCs w:val="false"/>
          <w:color w:val="000000"/>
          <w:sz w:val="24"/>
          <w:szCs w:val="24"/>
        </w:rPr>
        <w:t>ORDENADOR DE DESPESAS.</w:t>
      </w:r>
    </w:p>
    <w:sectPr>
      <w:footerReference w:type="default" r:id="rId6"/>
      <w:type w:val="nextPage"/>
      <w:pgSz w:w="11906" w:h="16838"/>
      <w:pgMar w:left="1701" w:right="1134" w:header="0" w:top="1701" w:footer="708" w:bottom="1134" w:gutter="0"/>
      <w:pgNumType w:fmt="decimal"/>
      <w:formProt w:val="false"/>
      <w:textDirection w:val="lrTb"/>
      <w:docGrid w:type="default" w:linePitch="360" w:charSpace="4096"/>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Ten Juliana Leal" w:date="2022-12-26T21:06:00Z" w:initials="TJL">
    <w:p>
      <w:r>
        <w:rPr>
          <w:rFonts w:ascii="Liberation Serif" w:hAnsi="Liberation Serif" w:eastAsia="DejaVu Sans" w:cs="DejaVu Sans"/>
          <w:color w:val="00000A"/>
          <w:sz w:val="24"/>
          <w:szCs w:val="24"/>
          <w:lang w:val="en-US" w:eastAsia="en-US" w:bidi="en-US"/>
        </w:rPr>
        <w:t>Se não exigida, substituir por:</w:t>
      </w:r>
    </w:p>
    <w:p>
      <w:r>
        <w:rPr>
          <w:rFonts w:ascii="Liberation Serif" w:hAnsi="Liberation Serif" w:eastAsia="DejaVu Sans" w:cs="DejaVu Sans"/>
          <w:color w:val="00000A"/>
          <w:sz w:val="24"/>
          <w:szCs w:val="24"/>
          <w:lang w:val="en-US" w:eastAsia="en-US" w:bidi="en-US"/>
        </w:rPr>
        <w:t>Não haverá exigência da garantia da contratação dos artigos 96 e seguintes da Lei nº 14.133, de 2021, pelas razões constantes do Estudo Técnico Preliminar.</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Arial">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Calibri" w:hAnsi="Calibri" w:eastAsia="Calibri" w:cs="Arial" w:asciiTheme="minorHAnsi" w:cstheme="minorBidi" w:eastAsiaTheme="minorHAnsi" w:hAnsiTheme="minorHAnsi"/>
      </w:rPr>
    </w:pPr>
    <w:r>
      <w:rPr>
        <w:rFonts w:cs="Arial" w:ascii="Arial" w:hAnsi="Arial" w:cstheme="minorBidi"/>
        <w:sz w:val="14"/>
        <w:szCs w:val="14"/>
      </w:rPr>
      <w:t>Câmara Nacional de Modelos de Licitações e Contratos da Consultoria-Geral da União</w:t>
    </w:r>
  </w:p>
  <w:p>
    <w:pPr>
      <w:pStyle w:val="Rodap"/>
      <w:rPr>
        <w:rFonts w:ascii="Calibri" w:hAnsi="Calibri" w:eastAsia="Calibri" w:cs="Arial" w:asciiTheme="minorHAnsi" w:cstheme="minorBidi" w:eastAsiaTheme="minorHAnsi" w:hAnsiTheme="minorHAnsi"/>
      </w:rPr>
    </w:pPr>
    <w:r>
      <w:rPr>
        <w:rFonts w:cs="Arial" w:ascii="Arial" w:hAnsi="Arial" w:cstheme="minorBidi"/>
        <w:sz w:val="14"/>
        <w:szCs w:val="14"/>
      </w:rPr>
      <w:t>Atualização: Agosto/2023</w:t>
    </w:r>
  </w:p>
  <w:p>
    <w:pPr>
      <w:pStyle w:val="Rodap"/>
      <w:rPr>
        <w:rFonts w:ascii="Calibri" w:hAnsi="Calibri" w:eastAsia="Calibri" w:cs="Arial" w:asciiTheme="minorHAnsi" w:cstheme="minorBidi" w:eastAsiaTheme="minorHAnsi" w:hAnsiTheme="minorHAnsi"/>
      </w:rPr>
    </w:pPr>
    <w:r>
      <w:rPr>
        <w:rFonts w:cs="Arial" w:ascii="Arial" w:hAnsi="Arial" w:cstheme="minorBidi"/>
        <w:sz w:val="14"/>
        <w:szCs w:val="14"/>
      </w:rPr>
      <w:t>Termo de Referência – Serviços de Engenharia – Contratação Direta</w:t>
      <w:tab/>
      <w:t>Aprovado pela Secretaria de Gestão e Inovação</w:t>
    </w:r>
  </w:p>
  <w:p>
    <w:pPr>
      <w:pStyle w:val="Rodap"/>
      <w:rPr>
        <w:rFonts w:ascii="Calibri" w:hAnsi="Calibri" w:eastAsia="Calibri" w:cs="Arial" w:asciiTheme="minorHAnsi" w:cstheme="minorBidi" w:eastAsiaTheme="minorHAnsi" w:hAnsiTheme="minorHAnsi"/>
      </w:rPr>
    </w:pPr>
    <w:r>
      <w:rPr>
        <w:rFonts w:cs="Arial" w:ascii="Arial" w:hAnsi="Arial" w:cstheme="minorBidi"/>
        <w:sz w:val="14"/>
        <w:szCs w:val="14"/>
      </w:rPr>
      <w:t>Identidade visual pela Secretaria de Gestão e Inovação</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tabs>
          <w:tab w:val="num" w:pos="0"/>
        </w:tabs>
        <w:ind w:left="0" w:hanging="0"/>
      </w:pPr>
    </w:lvl>
    <w:lvl w:ilvl="1">
      <w:start w:val="1"/>
      <w:pStyle w:val="Ttulo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pStyle w:val="Ttulo4"/>
      <w:numFmt w:val="none"/>
      <w:suff w:val="nothing"/>
      <w:lvlText w:val=""/>
      <w:lvlJc w:val="left"/>
      <w:pPr>
        <w:tabs>
          <w:tab w:val="num" w:pos="0"/>
        </w:tabs>
        <w:ind w:left="0" w:hanging="0"/>
      </w:pPr>
    </w:lvl>
    <w:lvl w:ilvl="4">
      <w:start w:val="1"/>
      <w:pStyle w:val="Ttulo5"/>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right"/>
      <w:pPr>
        <w:tabs>
          <w:tab w:val="num" w:pos="0"/>
        </w:tabs>
        <w:ind w:left="360" w:hanging="360"/>
      </w:pPr>
      <w:rPr>
        <w:sz w:val="24"/>
        <w:b/>
        <w:color w:val="00000A"/>
      </w:rPr>
    </w:lvl>
    <w:lvl w:ilvl="1">
      <w:start w:val="4"/>
      <w:numFmt w:val="decimal"/>
      <w:lvlText w:val="%1.%2."/>
      <w:lvlJc w:val="left"/>
      <w:pPr>
        <w:tabs>
          <w:tab w:val="num" w:pos="0"/>
        </w:tabs>
        <w:ind w:left="432" w:hanging="432"/>
      </w:pPr>
      <w:rPr>
        <w:dstrike w:val="false"/>
        <w:strike w:val="false"/>
        <w:i w:val="false"/>
        <w:u w:val="none"/>
        <w:b w:val="false"/>
        <w:effect w:val="none"/>
        <w:color w:val="00000A"/>
      </w:rPr>
    </w:lvl>
    <w:lvl w:ilvl="2">
      <w:start w:val="1"/>
      <w:numFmt w:val="decimal"/>
      <w:lvlText w:val="%1.%2.%3."/>
      <w:lvlJc w:val="left"/>
      <w:pPr>
        <w:tabs>
          <w:tab w:val="num" w:pos="0"/>
        </w:tabs>
        <w:ind w:left="1072" w:hanging="504"/>
      </w:pPr>
      <w:rPr>
        <w:sz w:val="20"/>
        <w:i w:val="false"/>
        <w:b w:val="false"/>
        <w:szCs w:val="20"/>
        <w:color w:val="00000A"/>
      </w:rPr>
    </w:lvl>
    <w:lvl w:ilvl="3">
      <w:start w:val="1"/>
      <w:numFmt w:val="decimal"/>
      <w:lvlText w:val="%1.%2.%3.%4."/>
      <w:lvlJc w:val="left"/>
      <w:pPr>
        <w:tabs>
          <w:tab w:val="num" w:pos="0"/>
        </w:tabs>
        <w:ind w:left="2491"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right"/>
      <w:pPr>
        <w:tabs>
          <w:tab w:val="num" w:pos="0"/>
        </w:tabs>
        <w:ind w:left="360" w:hanging="360"/>
      </w:pPr>
      <w:rPr>
        <w:b/>
        <w:color w:val="00000A"/>
      </w:rPr>
    </w:lvl>
    <w:lvl w:ilvl="1">
      <w:start w:val="1"/>
      <w:numFmt w:val="decimal"/>
      <w:lvlText w:val="%1.%2."/>
      <w:lvlJc w:val="left"/>
      <w:pPr>
        <w:tabs>
          <w:tab w:val="num" w:pos="0"/>
        </w:tabs>
        <w:ind w:left="432" w:hanging="432"/>
      </w:pPr>
      <w:rPr>
        <w:dstrike w:val="false"/>
        <w:strike w:val="false"/>
        <w:sz w:val="24"/>
        <w:i w:val="false"/>
        <w:u w:val="none"/>
        <w:b w:val="false"/>
        <w:effect w:val="none"/>
        <w:color w:val="00000A"/>
      </w:rPr>
    </w:lvl>
    <w:lvl w:ilvl="2">
      <w:start w:val="1"/>
      <w:numFmt w:val="decimal"/>
      <w:lvlText w:val="%1.%2.%3."/>
      <w:lvlJc w:val="left"/>
      <w:pPr>
        <w:tabs>
          <w:tab w:val="num" w:pos="0"/>
        </w:tabs>
        <w:ind w:left="1072" w:hanging="504"/>
      </w:pPr>
      <w:rPr>
        <w:sz w:val="20"/>
        <w:i w:val="false"/>
        <w:b w:val="false"/>
        <w:szCs w:val="20"/>
        <w:color w:val="00000A"/>
      </w:rPr>
    </w:lvl>
    <w:lvl w:ilvl="3">
      <w:start w:val="1"/>
      <w:numFmt w:val="decimal"/>
      <w:lvlText w:val="%1.%2.%3.%4."/>
      <w:lvlJc w:val="left"/>
      <w:pPr>
        <w:tabs>
          <w:tab w:val="num" w:pos="0"/>
        </w:tabs>
        <w:ind w:left="2491"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2"/>
      <w:numFmt w:val="decimal"/>
      <w:lvlText w:val="%1."/>
      <w:lvlJc w:val="right"/>
      <w:pPr>
        <w:tabs>
          <w:tab w:val="num" w:pos="0"/>
        </w:tabs>
        <w:ind w:left="360" w:hanging="360"/>
      </w:pPr>
      <w:rPr>
        <w:dstrike w:val="false"/>
        <w:strike w:val="false"/>
        <w:sz w:val="24"/>
        <w:i w:val="false"/>
        <w:b w:val="false"/>
        <w:szCs w:val="22"/>
        <w:bCs w:val="false"/>
        <w:color w:val="00000A"/>
      </w:rPr>
    </w:lvl>
    <w:lvl w:ilvl="1">
      <w:start w:val="1"/>
      <w:numFmt w:val="decimal"/>
      <w:lvlText w:val="%1.%2."/>
      <w:lvlJc w:val="left"/>
      <w:pPr>
        <w:tabs>
          <w:tab w:val="num" w:pos="0"/>
        </w:tabs>
        <w:ind w:left="432" w:hanging="432"/>
      </w:pPr>
      <w:rPr>
        <w:dstrike w:val="false"/>
        <w:strike w:val="false"/>
        <w:sz w:val="24"/>
        <w:i w:val="false"/>
        <w:u w:val="none"/>
        <w:b w:val="false"/>
        <w:effect w:val="none"/>
        <w:bCs w:val="false"/>
        <w:color w:val="00000A"/>
      </w:rPr>
    </w:lvl>
    <w:lvl w:ilvl="2">
      <w:start w:val="0"/>
      <w:numFmt w:val="decimal"/>
      <w:lvlText w:val="%1.%2.%3."/>
      <w:lvlJc w:val="left"/>
      <w:pPr>
        <w:tabs>
          <w:tab w:val="num" w:pos="0"/>
        </w:tabs>
        <w:ind w:left="1072" w:hanging="504"/>
      </w:pPr>
      <w:rPr>
        <w:sz w:val="24"/>
        <w:i w:val="false"/>
        <w:b w:val="false"/>
        <w:szCs w:val="20"/>
        <w:color w:val="00000A"/>
      </w:rPr>
    </w:lvl>
    <w:lvl w:ilvl="3">
      <w:start w:val="0"/>
      <w:numFmt w:val="decimal"/>
      <w:lvlText w:val="%1.%2.%3.%4."/>
      <w:lvlJc w:val="left"/>
      <w:pPr>
        <w:tabs>
          <w:tab w:val="num" w:pos="0"/>
        </w:tabs>
        <w:ind w:left="2491" w:hanging="648"/>
      </w:pPr>
      <w:rPr>
        <w:sz w:val="24"/>
        <w:szCs w:val="20"/>
      </w:rPr>
    </w:lvl>
    <w:lvl w:ilvl="4">
      <w:start w:val="0"/>
      <w:numFmt w:val="decimal"/>
      <w:lvlText w:val="%1.%2.%3.%4.%5."/>
      <w:lvlJc w:val="left"/>
      <w:pPr>
        <w:tabs>
          <w:tab w:val="num" w:pos="0"/>
        </w:tabs>
        <w:ind w:left="2232" w:hanging="792"/>
      </w:pPr>
    </w:lvl>
    <w:lvl w:ilvl="5">
      <w:start w:val="0"/>
      <w:numFmt w:val="decimal"/>
      <w:lvlText w:val="%1.%2.%3.%4.%5.%6."/>
      <w:lvlJc w:val="left"/>
      <w:pPr>
        <w:tabs>
          <w:tab w:val="num" w:pos="0"/>
        </w:tabs>
        <w:ind w:left="2736" w:hanging="936"/>
      </w:pPr>
    </w:lvl>
    <w:lvl w:ilvl="6">
      <w:start w:val="0"/>
      <w:numFmt w:val="decimal"/>
      <w:lvlText w:val="%1.%2.%3.%4.%5.%6.%7."/>
      <w:lvlJc w:val="left"/>
      <w:pPr>
        <w:tabs>
          <w:tab w:val="num" w:pos="0"/>
        </w:tabs>
        <w:ind w:left="3240" w:hanging="1080"/>
      </w:pPr>
    </w:lvl>
    <w:lvl w:ilvl="7">
      <w:start w:val="0"/>
      <w:numFmt w:val="decimal"/>
      <w:lvlText w:val="%1.%2.%3.%4.%5.%6.%7.%8."/>
      <w:lvlJc w:val="left"/>
      <w:pPr>
        <w:tabs>
          <w:tab w:val="num" w:pos="0"/>
        </w:tabs>
        <w:ind w:left="3744" w:hanging="1224"/>
      </w:pPr>
    </w:lvl>
    <w:lvl w:ilvl="8">
      <w:start w:val="0"/>
      <w:numFmt w:val="decimal"/>
      <w:lvlText w:val="%1.%2.%3.%4.%5.%6.%7.%8.%9."/>
      <w:lvlJc w:val="left"/>
      <w:pPr>
        <w:tabs>
          <w:tab w:val="num" w:pos="0"/>
        </w:tabs>
        <w:ind w:left="4320" w:hanging="1440"/>
      </w:pPr>
    </w:lvl>
  </w:abstractNum>
  <w:abstractNum w:abstractNumId="6">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sz w:val="24"/>
        <w:i w:val="false"/>
        <w:color w:val="00000A"/>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lvl w:ilvl="0">
      <w:start w:val="4"/>
      <w:numFmt w:val="decimal"/>
      <w:lvlText w:val="%1"/>
      <w:lvlJc w:val="left"/>
      <w:pPr>
        <w:tabs>
          <w:tab w:val="num" w:pos="0"/>
        </w:tabs>
        <w:ind w:left="360" w:hanging="360"/>
      </w:pPr>
      <w:rPr>
        <w:i/>
        <w:rFonts w:eastAsia="Calibri"/>
        <w:color w:val="FF0000"/>
      </w:rPr>
    </w:lvl>
    <w:lvl w:ilvl="1">
      <w:start w:val="1"/>
      <w:numFmt w:val="decimal"/>
      <w:lvlText w:val="%1.%2"/>
      <w:lvlJc w:val="left"/>
      <w:pPr>
        <w:tabs>
          <w:tab w:val="num" w:pos="0"/>
        </w:tabs>
        <w:ind w:left="360" w:hanging="360"/>
      </w:pPr>
      <w:rPr>
        <w:sz w:val="24"/>
        <w:i w:val="false"/>
        <w:rFonts w:eastAsia="Calibri" w:cs="Arial"/>
        <w:color w:val="00000A"/>
      </w:rPr>
    </w:lvl>
    <w:lvl w:ilvl="2">
      <w:start w:val="1"/>
      <w:numFmt w:val="decimal"/>
      <w:lvlText w:val="%1.%2.%3"/>
      <w:lvlJc w:val="left"/>
      <w:pPr>
        <w:tabs>
          <w:tab w:val="num" w:pos="0"/>
        </w:tabs>
        <w:ind w:left="720" w:hanging="720"/>
      </w:pPr>
      <w:rPr>
        <w:sz w:val="24"/>
        <w:i w:val="false"/>
        <w:rFonts w:eastAsia="Calibri"/>
        <w:color w:val="00000A"/>
      </w:rPr>
    </w:lvl>
    <w:lvl w:ilvl="3">
      <w:start w:val="1"/>
      <w:numFmt w:val="decimal"/>
      <w:lvlText w:val="%1.%2.%3.%4"/>
      <w:lvlJc w:val="left"/>
      <w:pPr>
        <w:tabs>
          <w:tab w:val="num" w:pos="0"/>
        </w:tabs>
        <w:ind w:left="720" w:hanging="720"/>
      </w:pPr>
      <w:rPr>
        <w:i/>
        <w:rFonts w:eastAsia="Calibri"/>
        <w:color w:val="000000"/>
      </w:rPr>
    </w:lvl>
    <w:lvl w:ilvl="4">
      <w:start w:val="1"/>
      <w:numFmt w:val="decimal"/>
      <w:lvlText w:val="%1.%2.%3.%4.%5"/>
      <w:lvlJc w:val="left"/>
      <w:pPr>
        <w:tabs>
          <w:tab w:val="num" w:pos="0"/>
        </w:tabs>
        <w:ind w:left="1080" w:hanging="1080"/>
      </w:pPr>
      <w:rPr>
        <w:i/>
        <w:rFonts w:eastAsia="Calibri"/>
        <w:color w:val="000000"/>
      </w:rPr>
    </w:lvl>
    <w:lvl w:ilvl="5">
      <w:start w:val="1"/>
      <w:numFmt w:val="decimal"/>
      <w:lvlText w:val="%1.%2.%3.%4.%5.%6"/>
      <w:lvlJc w:val="left"/>
      <w:pPr>
        <w:tabs>
          <w:tab w:val="num" w:pos="0"/>
        </w:tabs>
        <w:ind w:left="1080" w:hanging="1080"/>
      </w:pPr>
      <w:rPr>
        <w:i/>
        <w:rFonts w:eastAsia="Calibri"/>
        <w:color w:val="FF0000"/>
      </w:rPr>
    </w:lvl>
    <w:lvl w:ilvl="6">
      <w:start w:val="1"/>
      <w:numFmt w:val="decimal"/>
      <w:lvlText w:val="%1.%2.%3.%4.%5.%6.%7"/>
      <w:lvlJc w:val="left"/>
      <w:pPr>
        <w:tabs>
          <w:tab w:val="num" w:pos="0"/>
        </w:tabs>
        <w:ind w:left="1440" w:hanging="1440"/>
      </w:pPr>
      <w:rPr>
        <w:i/>
        <w:rFonts w:eastAsia="Calibri"/>
        <w:color w:val="FF0000"/>
      </w:rPr>
    </w:lvl>
    <w:lvl w:ilvl="7">
      <w:start w:val="1"/>
      <w:numFmt w:val="decimal"/>
      <w:lvlText w:val="%1.%2.%3.%4.%5.%6.%7.%8"/>
      <w:lvlJc w:val="left"/>
      <w:pPr>
        <w:tabs>
          <w:tab w:val="num" w:pos="0"/>
        </w:tabs>
        <w:ind w:left="1440" w:hanging="1440"/>
      </w:pPr>
      <w:rPr>
        <w:i/>
        <w:rFonts w:eastAsia="Calibri"/>
        <w:color w:val="FF0000"/>
      </w:rPr>
    </w:lvl>
    <w:lvl w:ilvl="8">
      <w:start w:val="1"/>
      <w:numFmt w:val="decimal"/>
      <w:lvlText w:val="%1.%2.%3.%4.%5.%6.%7.%8.%9"/>
      <w:lvlJc w:val="left"/>
      <w:pPr>
        <w:tabs>
          <w:tab w:val="num" w:pos="0"/>
        </w:tabs>
        <w:ind w:left="1800" w:hanging="1800"/>
      </w:pPr>
      <w:rPr>
        <w:i/>
        <w:rFonts w:eastAsia="Calibri"/>
        <w:color w:val="FF0000"/>
      </w:rPr>
    </w:lvl>
  </w:abstractNum>
  <w:abstractNum w:abstractNumId="8">
    <w:lvl w:ilvl="0">
      <w:start w:val="5"/>
      <w:numFmt w:val="decimal"/>
      <w:lvlText w:val="%1"/>
      <w:lvlJc w:val="left"/>
      <w:pPr>
        <w:tabs>
          <w:tab w:val="num" w:pos="0"/>
        </w:tabs>
        <w:ind w:left="360" w:hanging="360"/>
      </w:pPr>
      <w:rPr>
        <w:b w:val="false"/>
        <w:color w:val="FF0000"/>
      </w:rPr>
    </w:lvl>
    <w:lvl w:ilvl="1">
      <w:start w:val="1"/>
      <w:numFmt w:val="decimal"/>
      <w:lvlText w:val="%1.%2"/>
      <w:lvlJc w:val="left"/>
      <w:pPr>
        <w:tabs>
          <w:tab w:val="num" w:pos="0"/>
        </w:tabs>
        <w:ind w:left="720" w:hanging="360"/>
      </w:pPr>
      <w:rPr>
        <w:sz w:val="24"/>
        <w:i w:val="false"/>
        <w:b w:val="false"/>
        <w:color w:val="00000A"/>
      </w:rPr>
    </w:lvl>
    <w:lvl w:ilvl="2">
      <w:start w:val="1"/>
      <w:numFmt w:val="decimal"/>
      <w:lvlText w:val="%1.%2.%3"/>
      <w:lvlJc w:val="left"/>
      <w:pPr>
        <w:tabs>
          <w:tab w:val="num" w:pos="0"/>
        </w:tabs>
        <w:ind w:left="1440" w:hanging="720"/>
      </w:pPr>
      <w:rPr>
        <w:sz w:val="24"/>
        <w:i w:val="false"/>
        <w:b w:val="false"/>
        <w:color w:val="00000A"/>
      </w:rPr>
    </w:lvl>
    <w:lvl w:ilvl="3">
      <w:start w:val="1"/>
      <w:numFmt w:val="decimal"/>
      <w:lvlText w:val="%1.%2.%3.%4"/>
      <w:lvlJc w:val="left"/>
      <w:pPr>
        <w:tabs>
          <w:tab w:val="num" w:pos="0"/>
        </w:tabs>
        <w:ind w:left="1800" w:hanging="720"/>
      </w:pPr>
      <w:rPr>
        <w:i w:val="false"/>
        <w:b w:val="false"/>
        <w:color w:val="00000A"/>
      </w:rPr>
    </w:lvl>
    <w:lvl w:ilvl="4">
      <w:start w:val="1"/>
      <w:numFmt w:val="decimal"/>
      <w:lvlText w:val="%1.%2.%3.%4.%5"/>
      <w:lvlJc w:val="left"/>
      <w:pPr>
        <w:tabs>
          <w:tab w:val="num" w:pos="0"/>
        </w:tabs>
        <w:ind w:left="2520" w:hanging="1080"/>
      </w:pPr>
      <w:rPr>
        <w:b w:val="false"/>
        <w:color w:val="FF0000"/>
      </w:rPr>
    </w:lvl>
    <w:lvl w:ilvl="5">
      <w:start w:val="1"/>
      <w:numFmt w:val="decimal"/>
      <w:lvlText w:val="%1.%2.%3.%4.%5.%6"/>
      <w:lvlJc w:val="left"/>
      <w:pPr>
        <w:tabs>
          <w:tab w:val="num" w:pos="0"/>
        </w:tabs>
        <w:ind w:left="2880" w:hanging="1080"/>
      </w:pPr>
      <w:rPr>
        <w:b w:val="false"/>
        <w:color w:val="FF0000"/>
      </w:rPr>
    </w:lvl>
    <w:lvl w:ilvl="6">
      <w:start w:val="1"/>
      <w:numFmt w:val="decimal"/>
      <w:lvlText w:val="%1.%2.%3.%4.%5.%6.%7"/>
      <w:lvlJc w:val="left"/>
      <w:pPr>
        <w:tabs>
          <w:tab w:val="num" w:pos="0"/>
        </w:tabs>
        <w:ind w:left="3600" w:hanging="1440"/>
      </w:pPr>
      <w:rPr>
        <w:b w:val="false"/>
        <w:color w:val="FF0000"/>
      </w:rPr>
    </w:lvl>
    <w:lvl w:ilvl="7">
      <w:start w:val="1"/>
      <w:numFmt w:val="decimal"/>
      <w:lvlText w:val="%1.%2.%3.%4.%5.%6.%7.%8"/>
      <w:lvlJc w:val="left"/>
      <w:pPr>
        <w:tabs>
          <w:tab w:val="num" w:pos="0"/>
        </w:tabs>
        <w:ind w:left="3960" w:hanging="1440"/>
      </w:pPr>
      <w:rPr>
        <w:b w:val="false"/>
        <w:color w:val="FF0000"/>
      </w:rPr>
    </w:lvl>
    <w:lvl w:ilvl="8">
      <w:start w:val="1"/>
      <w:numFmt w:val="decimal"/>
      <w:lvlText w:val="%1.%2.%3.%4.%5.%6.%7.%8.%9"/>
      <w:lvlJc w:val="left"/>
      <w:pPr>
        <w:tabs>
          <w:tab w:val="num" w:pos="0"/>
        </w:tabs>
        <w:ind w:left="4680" w:hanging="1800"/>
      </w:pPr>
      <w:rPr>
        <w:b w:val="false"/>
        <w:color w:val="FF0000"/>
      </w:rPr>
    </w:lvl>
  </w:abstractNum>
  <w:abstractNum w:abstractNumId="9">
    <w:lvl w:ilvl="0">
      <w:start w:val="6"/>
      <w:numFmt w:val="decimal"/>
      <w:lvlText w:val="%1"/>
      <w:lvlJc w:val="left"/>
      <w:pPr>
        <w:tabs>
          <w:tab w:val="num" w:pos="0"/>
        </w:tabs>
        <w:ind w:left="360" w:hanging="360"/>
      </w:pPr>
    </w:lvl>
    <w:lvl w:ilvl="1">
      <w:start w:val="1"/>
      <w:numFmt w:val="decimal"/>
      <w:lvlText w:val="%1.%2"/>
      <w:lvlJc w:val="left"/>
      <w:pPr>
        <w:tabs>
          <w:tab w:val="num" w:pos="0"/>
        </w:tabs>
        <w:ind w:left="792" w:hanging="360"/>
      </w:pPr>
      <w:rPr>
        <w:i w:val="false"/>
        <w:color w:val="00000A"/>
      </w:rPr>
    </w:lvl>
    <w:lvl w:ilvl="2">
      <w:start w:val="1"/>
      <w:numFmt w:val="decimal"/>
      <w:lvlText w:val="%1.%2.%3"/>
      <w:lvlJc w:val="left"/>
      <w:pPr>
        <w:tabs>
          <w:tab w:val="num" w:pos="0"/>
        </w:tabs>
        <w:ind w:left="1584" w:hanging="720"/>
      </w:pPr>
      <w:rPr>
        <w:sz w:val="24"/>
        <w:i w:val="false"/>
        <w:color w:val="00000A"/>
      </w:rPr>
    </w:lvl>
    <w:lvl w:ilvl="3">
      <w:start w:val="1"/>
      <w:numFmt w:val="decimal"/>
      <w:lvlText w:val="%1.%2.%3.%4"/>
      <w:lvlJc w:val="left"/>
      <w:pPr>
        <w:tabs>
          <w:tab w:val="num" w:pos="0"/>
        </w:tabs>
        <w:ind w:left="2016" w:hanging="720"/>
      </w:pPr>
    </w:lvl>
    <w:lvl w:ilvl="4">
      <w:start w:val="1"/>
      <w:numFmt w:val="decimal"/>
      <w:lvlText w:val="%1.%2.%3.%4.%5"/>
      <w:lvlJc w:val="left"/>
      <w:pPr>
        <w:tabs>
          <w:tab w:val="num" w:pos="0"/>
        </w:tabs>
        <w:ind w:left="2808"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4032" w:hanging="1440"/>
      </w:pPr>
    </w:lvl>
    <w:lvl w:ilvl="7">
      <w:start w:val="1"/>
      <w:numFmt w:val="decimal"/>
      <w:lvlText w:val="%1.%2.%3.%4.%5.%6.%7.%8"/>
      <w:lvlJc w:val="left"/>
      <w:pPr>
        <w:tabs>
          <w:tab w:val="num" w:pos="0"/>
        </w:tabs>
        <w:ind w:left="4464" w:hanging="1440"/>
      </w:pPr>
    </w:lvl>
    <w:lvl w:ilvl="8">
      <w:start w:val="1"/>
      <w:numFmt w:val="decimal"/>
      <w:lvlText w:val="%1.%2.%3.%4.%5.%6.%7.%8.%9"/>
      <w:lvlJc w:val="left"/>
      <w:pPr>
        <w:tabs>
          <w:tab w:val="num" w:pos="0"/>
        </w:tabs>
        <w:ind w:left="5256" w:hanging="1800"/>
      </w:pPr>
    </w:lvl>
  </w:abstractNum>
  <w:abstractNum w:abstractNumId="10">
    <w:lvl w:ilvl="0">
      <w:start w:val="4"/>
      <w:numFmt w:val="decimal"/>
      <w:lvlText w:val="%1"/>
      <w:lvlJc w:val="left"/>
      <w:pPr>
        <w:tabs>
          <w:tab w:val="num" w:pos="0"/>
        </w:tabs>
        <w:ind w:left="360" w:hanging="360"/>
      </w:pPr>
      <w:rPr>
        <w:i/>
        <w:rFonts w:eastAsia="Calibri"/>
        <w:color w:val="FF0000"/>
      </w:rPr>
    </w:lvl>
    <w:lvl w:ilvl="1">
      <w:start w:val="2"/>
      <w:numFmt w:val="decimal"/>
      <w:lvlText w:val="%1.%2"/>
      <w:lvlJc w:val="left"/>
      <w:pPr>
        <w:tabs>
          <w:tab w:val="num" w:pos="0"/>
        </w:tabs>
        <w:ind w:left="360" w:hanging="360"/>
      </w:pPr>
      <w:rPr>
        <w:i w:val="false"/>
        <w:rFonts w:eastAsia="Calibri" w:cs="Arial"/>
        <w:color w:val="00000A"/>
      </w:rPr>
    </w:lvl>
    <w:lvl w:ilvl="2">
      <w:start w:val="1"/>
      <w:numFmt w:val="decimal"/>
      <w:lvlText w:val="%1.%2.%3"/>
      <w:lvlJc w:val="left"/>
      <w:pPr>
        <w:tabs>
          <w:tab w:val="num" w:pos="0"/>
        </w:tabs>
        <w:ind w:left="720" w:hanging="720"/>
      </w:pPr>
      <w:rPr>
        <w:sz w:val="24"/>
        <w:i w:val="false"/>
        <w:rFonts w:eastAsia="Calibri"/>
        <w:color w:val="00000A"/>
      </w:rPr>
    </w:lvl>
    <w:lvl w:ilvl="3">
      <w:start w:val="1"/>
      <w:numFmt w:val="decimal"/>
      <w:lvlText w:val="%1.%2.%3.%4"/>
      <w:lvlJc w:val="left"/>
      <w:pPr>
        <w:tabs>
          <w:tab w:val="num" w:pos="0"/>
        </w:tabs>
        <w:ind w:left="720" w:hanging="720"/>
      </w:pPr>
      <w:rPr>
        <w:i/>
        <w:rFonts w:eastAsia="Calibri"/>
        <w:color w:val="FF0000"/>
      </w:rPr>
    </w:lvl>
    <w:lvl w:ilvl="4">
      <w:start w:val="1"/>
      <w:numFmt w:val="decimal"/>
      <w:lvlText w:val="%1.%2.%3.%4.%5"/>
      <w:lvlJc w:val="left"/>
      <w:pPr>
        <w:tabs>
          <w:tab w:val="num" w:pos="0"/>
        </w:tabs>
        <w:ind w:left="1080" w:hanging="1080"/>
      </w:pPr>
      <w:rPr>
        <w:i/>
        <w:rFonts w:eastAsia="Calibri"/>
        <w:color w:val="FF0000"/>
      </w:rPr>
    </w:lvl>
    <w:lvl w:ilvl="5">
      <w:start w:val="1"/>
      <w:numFmt w:val="decimal"/>
      <w:lvlText w:val="%1.%2.%3.%4.%5.%6"/>
      <w:lvlJc w:val="left"/>
      <w:pPr>
        <w:tabs>
          <w:tab w:val="num" w:pos="0"/>
        </w:tabs>
        <w:ind w:left="1080" w:hanging="1080"/>
      </w:pPr>
      <w:rPr>
        <w:i/>
        <w:rFonts w:eastAsia="Calibri"/>
        <w:color w:val="FF0000"/>
      </w:rPr>
    </w:lvl>
    <w:lvl w:ilvl="6">
      <w:start w:val="1"/>
      <w:numFmt w:val="decimal"/>
      <w:lvlText w:val="%1.%2.%3.%4.%5.%6.%7"/>
      <w:lvlJc w:val="left"/>
      <w:pPr>
        <w:tabs>
          <w:tab w:val="num" w:pos="0"/>
        </w:tabs>
        <w:ind w:left="1440" w:hanging="1440"/>
      </w:pPr>
      <w:rPr>
        <w:i/>
        <w:rFonts w:eastAsia="Calibri"/>
        <w:color w:val="FF0000"/>
      </w:rPr>
    </w:lvl>
    <w:lvl w:ilvl="7">
      <w:start w:val="1"/>
      <w:numFmt w:val="decimal"/>
      <w:lvlText w:val="%1.%2.%3.%4.%5.%6.%7.%8"/>
      <w:lvlJc w:val="left"/>
      <w:pPr>
        <w:tabs>
          <w:tab w:val="num" w:pos="0"/>
        </w:tabs>
        <w:ind w:left="1440" w:hanging="1440"/>
      </w:pPr>
      <w:rPr>
        <w:i/>
        <w:rFonts w:eastAsia="Calibri"/>
        <w:color w:val="FF0000"/>
      </w:rPr>
    </w:lvl>
    <w:lvl w:ilvl="8">
      <w:start w:val="1"/>
      <w:numFmt w:val="decimal"/>
      <w:lvlText w:val="%1.%2.%3.%4.%5.%6.%7.%8.%9"/>
      <w:lvlJc w:val="left"/>
      <w:pPr>
        <w:tabs>
          <w:tab w:val="num" w:pos="0"/>
        </w:tabs>
        <w:ind w:left="1800" w:hanging="1800"/>
      </w:pPr>
      <w:rPr>
        <w:i/>
        <w:rFonts w:eastAsia="Calibri"/>
        <w:color w:val="FF0000"/>
      </w:rPr>
    </w:lvl>
  </w:abstractNum>
  <w:abstractNum w:abstractNumId="11">
    <w:lvl w:ilvl="0">
      <w:start w:val="4"/>
      <w:numFmt w:val="decimal"/>
      <w:lvlText w:val="%1"/>
      <w:lvlJc w:val="left"/>
      <w:pPr>
        <w:tabs>
          <w:tab w:val="num" w:pos="0"/>
        </w:tabs>
        <w:ind w:left="360" w:hanging="360"/>
      </w:pPr>
      <w:rPr>
        <w:i/>
        <w:rFonts w:eastAsia="Calibri"/>
        <w:color w:val="FF0000"/>
      </w:rPr>
    </w:lvl>
    <w:lvl w:ilvl="1">
      <w:start w:val="3"/>
      <w:numFmt w:val="decimal"/>
      <w:lvlText w:val="%1.%2"/>
      <w:lvlJc w:val="left"/>
      <w:pPr>
        <w:tabs>
          <w:tab w:val="num" w:pos="0"/>
        </w:tabs>
        <w:ind w:left="360" w:hanging="360"/>
      </w:pPr>
      <w:rPr>
        <w:sz w:val="24"/>
        <w:i w:val="false"/>
        <w:b w:val="false"/>
        <w:bCs w:val="false"/>
        <w:rFonts w:eastAsia="Calibri" w:cs="Arial"/>
        <w:color w:val="00000A"/>
      </w:rPr>
    </w:lvl>
    <w:lvl w:ilvl="2">
      <w:start w:val="1"/>
      <w:numFmt w:val="decimal"/>
      <w:lvlText w:val="%1.%2.%3"/>
      <w:lvlJc w:val="left"/>
      <w:pPr>
        <w:tabs>
          <w:tab w:val="num" w:pos="0"/>
        </w:tabs>
        <w:ind w:left="720" w:hanging="720"/>
      </w:pPr>
      <w:rPr>
        <w:i w:val="false"/>
        <w:rFonts w:eastAsia="Calibri"/>
        <w:color w:val="00000A"/>
      </w:rPr>
    </w:lvl>
    <w:lvl w:ilvl="3">
      <w:start w:val="1"/>
      <w:numFmt w:val="decimal"/>
      <w:lvlText w:val="%1.%2.%3.%4"/>
      <w:lvlJc w:val="left"/>
      <w:pPr>
        <w:tabs>
          <w:tab w:val="num" w:pos="0"/>
        </w:tabs>
        <w:ind w:left="720" w:hanging="720"/>
      </w:pPr>
      <w:rPr>
        <w:i/>
        <w:rFonts w:eastAsia="Calibri"/>
        <w:color w:val="FF0000"/>
      </w:rPr>
    </w:lvl>
    <w:lvl w:ilvl="4">
      <w:start w:val="1"/>
      <w:numFmt w:val="decimal"/>
      <w:lvlText w:val="%1.%2.%3.%4.%5"/>
      <w:lvlJc w:val="left"/>
      <w:pPr>
        <w:tabs>
          <w:tab w:val="num" w:pos="0"/>
        </w:tabs>
        <w:ind w:left="1080" w:hanging="1080"/>
      </w:pPr>
      <w:rPr>
        <w:i/>
        <w:rFonts w:eastAsia="Calibri"/>
        <w:color w:val="FF0000"/>
      </w:rPr>
    </w:lvl>
    <w:lvl w:ilvl="5">
      <w:start w:val="1"/>
      <w:numFmt w:val="decimal"/>
      <w:lvlText w:val="%1.%2.%3.%4.%5.%6"/>
      <w:lvlJc w:val="left"/>
      <w:pPr>
        <w:tabs>
          <w:tab w:val="num" w:pos="0"/>
        </w:tabs>
        <w:ind w:left="1080" w:hanging="1080"/>
      </w:pPr>
      <w:rPr>
        <w:i/>
        <w:rFonts w:eastAsia="Calibri"/>
        <w:color w:val="FF0000"/>
      </w:rPr>
    </w:lvl>
    <w:lvl w:ilvl="6">
      <w:start w:val="1"/>
      <w:numFmt w:val="decimal"/>
      <w:lvlText w:val="%1.%2.%3.%4.%5.%6.%7"/>
      <w:lvlJc w:val="left"/>
      <w:pPr>
        <w:tabs>
          <w:tab w:val="num" w:pos="0"/>
        </w:tabs>
        <w:ind w:left="1440" w:hanging="1440"/>
      </w:pPr>
      <w:rPr>
        <w:i/>
        <w:rFonts w:eastAsia="Calibri"/>
        <w:color w:val="FF0000"/>
      </w:rPr>
    </w:lvl>
    <w:lvl w:ilvl="7">
      <w:start w:val="1"/>
      <w:numFmt w:val="decimal"/>
      <w:lvlText w:val="%1.%2.%3.%4.%5.%6.%7.%8"/>
      <w:lvlJc w:val="left"/>
      <w:pPr>
        <w:tabs>
          <w:tab w:val="num" w:pos="0"/>
        </w:tabs>
        <w:ind w:left="1440" w:hanging="1440"/>
      </w:pPr>
      <w:rPr>
        <w:i/>
        <w:rFonts w:eastAsia="Calibri"/>
        <w:color w:val="FF0000"/>
      </w:rPr>
    </w:lvl>
    <w:lvl w:ilvl="8">
      <w:start w:val="1"/>
      <w:numFmt w:val="decimal"/>
      <w:lvlText w:val="%1.%2.%3.%4.%5.%6.%7.%8.%9"/>
      <w:lvlJc w:val="left"/>
      <w:pPr>
        <w:tabs>
          <w:tab w:val="num" w:pos="0"/>
        </w:tabs>
        <w:ind w:left="1800" w:hanging="1800"/>
      </w:pPr>
      <w:rPr>
        <w:i/>
        <w:rFonts w:eastAsia="Calibri"/>
        <w:color w:val="FF0000"/>
      </w:rPr>
    </w:lvl>
  </w:abstractNum>
  <w:abstractNum w:abstractNumId="12">
    <w:lvl w:ilvl="0">
      <w:start w:val="11"/>
      <w:numFmt w:val="decimal"/>
      <w:lvlText w:val="%1."/>
      <w:lvlJc w:val="right"/>
      <w:pPr>
        <w:tabs>
          <w:tab w:val="num" w:pos="0"/>
        </w:tabs>
        <w:ind w:left="360" w:hanging="360"/>
      </w:pPr>
      <w:rPr>
        <w:dstrike w:val="false"/>
        <w:strike w:val="false"/>
        <w:i w:val="false"/>
        <w:b/>
        <w:color w:val="00000A"/>
      </w:rPr>
    </w:lvl>
    <w:lvl w:ilvl="1">
      <w:start w:val="1"/>
      <w:numFmt w:val="decimal"/>
      <w:lvlText w:val="%1.%2."/>
      <w:lvlJc w:val="left"/>
      <w:pPr>
        <w:tabs>
          <w:tab w:val="num" w:pos="0"/>
        </w:tabs>
        <w:ind w:left="432" w:hanging="432"/>
      </w:pPr>
      <w:rPr>
        <w:dstrike w:val="false"/>
        <w:strike w:val="false"/>
        <w:sz w:val="24"/>
        <w:i w:val="false"/>
        <w:u w:val="none"/>
        <w:b w:val="false"/>
        <w:effect w:val="none"/>
        <w:bCs w:val="false"/>
        <w:color w:val="00000A"/>
      </w:rPr>
    </w:lvl>
    <w:lvl w:ilvl="2">
      <w:start w:val="0"/>
      <w:numFmt w:val="decimal"/>
      <w:lvlText w:val="%1.%2.%3."/>
      <w:lvlJc w:val="left"/>
      <w:pPr>
        <w:tabs>
          <w:tab w:val="num" w:pos="0"/>
        </w:tabs>
        <w:ind w:left="1072" w:hanging="504"/>
      </w:pPr>
      <w:rPr>
        <w:sz w:val="20"/>
        <w:i w:val="false"/>
        <w:b w:val="false"/>
        <w:szCs w:val="20"/>
        <w:color w:val="00000A"/>
      </w:rPr>
    </w:lvl>
    <w:lvl w:ilvl="3">
      <w:start w:val="0"/>
      <w:numFmt w:val="decimal"/>
      <w:lvlText w:val="%1.%2.%3.%4."/>
      <w:lvlJc w:val="left"/>
      <w:pPr>
        <w:tabs>
          <w:tab w:val="num" w:pos="0"/>
        </w:tabs>
        <w:ind w:left="2491" w:hanging="648"/>
      </w:pPr>
      <w:rPr>
        <w:sz w:val="20"/>
        <w:szCs w:val="20"/>
      </w:rPr>
    </w:lvl>
    <w:lvl w:ilvl="4">
      <w:start w:val="0"/>
      <w:numFmt w:val="decimal"/>
      <w:lvlText w:val="%1.%2.%3.%4.%5."/>
      <w:lvlJc w:val="left"/>
      <w:pPr>
        <w:tabs>
          <w:tab w:val="num" w:pos="0"/>
        </w:tabs>
        <w:ind w:left="2232" w:hanging="792"/>
      </w:pPr>
    </w:lvl>
    <w:lvl w:ilvl="5">
      <w:start w:val="0"/>
      <w:numFmt w:val="decimal"/>
      <w:lvlText w:val="%1.%2.%3.%4.%5.%6."/>
      <w:lvlJc w:val="left"/>
      <w:pPr>
        <w:tabs>
          <w:tab w:val="num" w:pos="0"/>
        </w:tabs>
        <w:ind w:left="2736" w:hanging="936"/>
      </w:pPr>
    </w:lvl>
    <w:lvl w:ilvl="6">
      <w:start w:val="0"/>
      <w:numFmt w:val="decimal"/>
      <w:lvlText w:val="%1.%2.%3.%4.%5.%6.%7."/>
      <w:lvlJc w:val="left"/>
      <w:pPr>
        <w:tabs>
          <w:tab w:val="num" w:pos="0"/>
        </w:tabs>
        <w:ind w:left="3240" w:hanging="1080"/>
      </w:pPr>
    </w:lvl>
    <w:lvl w:ilvl="7">
      <w:start w:val="0"/>
      <w:numFmt w:val="decimal"/>
      <w:lvlText w:val="%1.%2.%3.%4.%5.%6.%7.%8."/>
      <w:lvlJc w:val="left"/>
      <w:pPr>
        <w:tabs>
          <w:tab w:val="num" w:pos="0"/>
        </w:tabs>
        <w:ind w:left="3744" w:hanging="1224"/>
      </w:pPr>
    </w:lvl>
    <w:lvl w:ilvl="8">
      <w:start w:val="0"/>
      <w:numFmt w:val="decimal"/>
      <w:lvlText w:val="%1.%2.%3.%4.%5.%6.%7.%8.%9."/>
      <w:lvlJc w:val="left"/>
      <w:pPr>
        <w:tabs>
          <w:tab w:val="num" w:pos="0"/>
        </w:tabs>
        <w:ind w:left="4320" w:hanging="1440"/>
      </w:pPr>
    </w:lvl>
  </w:abstractNum>
  <w:abstractNum w:abstractNumId="13">
    <w:lvl w:ilvl="0">
      <w:start w:val="12"/>
      <w:numFmt w:val="decimal"/>
      <w:lvlText w:val="%1."/>
      <w:lvlJc w:val="right"/>
      <w:pPr>
        <w:tabs>
          <w:tab w:val="num" w:pos="0"/>
        </w:tabs>
        <w:ind w:left="360" w:hanging="360"/>
      </w:pPr>
      <w:rPr>
        <w:dstrike w:val="false"/>
        <w:strike w:val="false"/>
        <w:sz w:val="24"/>
        <w:i w:val="false"/>
        <w:b/>
        <w:color w:val="00000A"/>
      </w:rPr>
    </w:lvl>
    <w:lvl w:ilvl="1">
      <w:start w:val="1"/>
      <w:numFmt w:val="decimal"/>
      <w:lvlText w:val="%1.%2."/>
      <w:lvlJc w:val="left"/>
      <w:pPr>
        <w:tabs>
          <w:tab w:val="num" w:pos="0"/>
        </w:tabs>
        <w:ind w:left="432" w:hanging="432"/>
      </w:pPr>
      <w:rPr>
        <w:dstrike w:val="false"/>
        <w:strike w:val="false"/>
        <w:i w:val="false"/>
        <w:u w:val="none"/>
        <w:b w:val="false"/>
        <w:effect w:val="none"/>
        <w:bCs w:val="false"/>
        <w:color w:val="00000A"/>
      </w:rPr>
    </w:lvl>
    <w:lvl w:ilvl="2">
      <w:start w:val="1"/>
      <w:numFmt w:val="decimal"/>
      <w:lvlText w:val="%1.%2.%3."/>
      <w:lvlJc w:val="left"/>
      <w:pPr>
        <w:tabs>
          <w:tab w:val="num" w:pos="0"/>
        </w:tabs>
        <w:ind w:left="1072" w:hanging="504"/>
      </w:pPr>
      <w:rPr>
        <w:sz w:val="24"/>
        <w:i w:val="false"/>
        <w:b w:val="false"/>
        <w:szCs w:val="20"/>
        <w:color w:val="00000A"/>
      </w:rPr>
    </w:lvl>
    <w:lvl w:ilvl="3">
      <w:start w:val="0"/>
      <w:numFmt w:val="decimal"/>
      <w:lvlText w:val="%1.%2.%3.%4."/>
      <w:lvlJc w:val="left"/>
      <w:pPr>
        <w:tabs>
          <w:tab w:val="num" w:pos="0"/>
        </w:tabs>
        <w:ind w:left="2491" w:hanging="648"/>
      </w:pPr>
      <w:rPr>
        <w:sz w:val="20"/>
        <w:szCs w:val="20"/>
      </w:rPr>
    </w:lvl>
    <w:lvl w:ilvl="4">
      <w:start w:val="0"/>
      <w:numFmt w:val="decimal"/>
      <w:lvlText w:val="%1.%2.%3.%4.%5."/>
      <w:lvlJc w:val="left"/>
      <w:pPr>
        <w:tabs>
          <w:tab w:val="num" w:pos="0"/>
        </w:tabs>
        <w:ind w:left="2232" w:hanging="792"/>
      </w:pPr>
    </w:lvl>
    <w:lvl w:ilvl="5">
      <w:start w:val="0"/>
      <w:numFmt w:val="decimal"/>
      <w:lvlText w:val="%1.%2.%3.%4.%5.%6."/>
      <w:lvlJc w:val="left"/>
      <w:pPr>
        <w:tabs>
          <w:tab w:val="num" w:pos="0"/>
        </w:tabs>
        <w:ind w:left="2736" w:hanging="936"/>
      </w:pPr>
    </w:lvl>
    <w:lvl w:ilvl="6">
      <w:start w:val="0"/>
      <w:numFmt w:val="decimal"/>
      <w:lvlText w:val="%1.%2.%3.%4.%5.%6.%7."/>
      <w:lvlJc w:val="left"/>
      <w:pPr>
        <w:tabs>
          <w:tab w:val="num" w:pos="0"/>
        </w:tabs>
        <w:ind w:left="3240" w:hanging="1080"/>
      </w:pPr>
    </w:lvl>
    <w:lvl w:ilvl="7">
      <w:start w:val="0"/>
      <w:numFmt w:val="decimal"/>
      <w:lvlText w:val="%1.%2.%3.%4.%5.%6.%7.%8."/>
      <w:lvlJc w:val="left"/>
      <w:pPr>
        <w:tabs>
          <w:tab w:val="num" w:pos="0"/>
        </w:tabs>
        <w:ind w:left="3744" w:hanging="1224"/>
      </w:pPr>
    </w:lvl>
    <w:lvl w:ilvl="8">
      <w:start w:val="0"/>
      <w:numFmt w:val="decimal"/>
      <w:lvlText w:val="%1.%2.%3.%4.%5.%6.%7.%8.%9."/>
      <w:lvlJc w:val="left"/>
      <w:pPr>
        <w:tabs>
          <w:tab w:val="num" w:pos="0"/>
        </w:tabs>
        <w:ind w:left="4320" w:hanging="1440"/>
      </w:pPr>
    </w:lvl>
  </w:abstractNum>
  <w:abstractNum w:abstractNumId="14">
    <w:lvl w:ilvl="0">
      <w:start w:val="1"/>
      <w:numFmt w:val="decimal"/>
      <w:lvlText w:val="%1."/>
      <w:lvlJc w:val="right"/>
      <w:pPr>
        <w:tabs>
          <w:tab w:val="num" w:pos="0"/>
        </w:tabs>
        <w:ind w:left="360" w:hanging="360"/>
      </w:pPr>
      <w:rPr>
        <w:sz w:val="24"/>
        <w:b/>
        <w:color w:val="00000A"/>
      </w:rPr>
    </w:lvl>
    <w:lvl w:ilvl="1">
      <w:start w:val="4"/>
      <w:numFmt w:val="decimal"/>
      <w:lvlText w:val="%1.%2."/>
      <w:lvlJc w:val="left"/>
      <w:pPr>
        <w:tabs>
          <w:tab w:val="num" w:pos="0"/>
        </w:tabs>
        <w:ind w:left="432" w:hanging="432"/>
      </w:pPr>
      <w:rPr>
        <w:dstrike w:val="false"/>
        <w:strike w:val="false"/>
        <w:i w:val="false"/>
        <w:u w:val="none"/>
        <w:b w:val="false"/>
        <w:effect w:val="none"/>
        <w:color w:val="00000A"/>
      </w:rPr>
    </w:lvl>
    <w:lvl w:ilvl="2">
      <w:start w:val="1"/>
      <w:numFmt w:val="decimal"/>
      <w:lvlText w:val="%1.%2.%3."/>
      <w:lvlJc w:val="left"/>
      <w:pPr>
        <w:tabs>
          <w:tab w:val="num" w:pos="0"/>
        </w:tabs>
        <w:ind w:left="1072" w:hanging="504"/>
      </w:pPr>
      <w:rPr>
        <w:sz w:val="20"/>
        <w:i w:val="false"/>
        <w:b w:val="false"/>
        <w:szCs w:val="20"/>
        <w:color w:val="00000A"/>
      </w:rPr>
    </w:lvl>
    <w:lvl w:ilvl="3">
      <w:start w:val="1"/>
      <w:numFmt w:val="decimal"/>
      <w:lvlText w:val="%1.%2.%3.%4."/>
      <w:lvlJc w:val="left"/>
      <w:pPr>
        <w:tabs>
          <w:tab w:val="num" w:pos="0"/>
        </w:tabs>
        <w:ind w:left="2491"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suppressAutoHyphens w:val="true"/>
      <w:bidi w:val="0"/>
      <w:spacing w:lineRule="auto" w:line="259" w:before="0" w:after="160"/>
      <w:jc w:val="left"/>
    </w:pPr>
    <w:rPr>
      <w:rFonts w:ascii="Calibri" w:hAnsi="Calibri" w:eastAsia="Calibri" w:cs="Arial" w:asciiTheme="minorHAnsi" w:cstheme="minorBidi" w:eastAsiaTheme="minorHAnsi" w:hAnsiTheme="minorHAnsi"/>
      <w:color w:val="00000A"/>
      <w:kern w:val="0"/>
      <w:sz w:val="22"/>
      <w:szCs w:val="22"/>
      <w:lang w:val="pt-BR" w:eastAsia="en-US" w:bidi="ar-SA"/>
    </w:rPr>
  </w:style>
  <w:style w:type="paragraph" w:styleId="Ttulo1">
    <w:name w:val="Heading 1"/>
    <w:basedOn w:val="Normal"/>
    <w:next w:val="Normal"/>
    <w:link w:val="Ttulo1Char"/>
    <w:uiPriority w:val="9"/>
    <w:qFormat/>
    <w:rsid w:val="00fe71e3"/>
    <w:pPr>
      <w:keepNext w:val="true"/>
      <w:keepLines/>
      <w:spacing w:before="240" w:after="0"/>
      <w:outlineLvl w:val="0"/>
    </w:pPr>
    <w:rPr>
      <w:rFonts w:ascii="Calibri Light" w:hAnsi="Calibri Light" w:eastAsia="游ゴシック Light" w:cs="Times New Roman" w:asciiTheme="majorHAnsi" w:cstheme="majorBidi" w:eastAsiaTheme="majorEastAsia" w:hAnsiTheme="majorHAnsi"/>
      <w:color w:val="2F5496" w:themeColor="accent1" w:themeShade="bf"/>
      <w:sz w:val="32"/>
      <w:szCs w:val="32"/>
    </w:rPr>
  </w:style>
  <w:style w:type="paragraph" w:styleId="Ttulo2">
    <w:name w:val="Heading 2"/>
    <w:basedOn w:val="Normal"/>
    <w:next w:val="Normal"/>
    <w:qFormat/>
    <w:pPr>
      <w:widowControl w:val="false"/>
      <w:numPr>
        <w:ilvl w:val="1"/>
        <w:numId w:val="1"/>
      </w:numPr>
      <w:suppressAutoHyphens w:val="true"/>
      <w:spacing w:before="0" w:after="120"/>
      <w:ind w:left="0" w:hanging="0"/>
      <w:contextualSpacing/>
      <w:outlineLvl w:val="1"/>
    </w:pPr>
    <w:rPr>
      <w:rFonts w:cs="Arial"/>
      <w:bCs/>
    </w:rPr>
  </w:style>
  <w:style w:type="paragraph" w:styleId="Ttulo3">
    <w:name w:val="Heading 3"/>
    <w:basedOn w:val="Normal"/>
    <w:next w:val="Normal"/>
    <w:link w:val="Ttulo3Char"/>
    <w:uiPriority w:val="9"/>
    <w:semiHidden/>
    <w:unhideWhenUsed/>
    <w:qFormat/>
    <w:rsid w:val="00902b3f"/>
    <w:pPr>
      <w:keepNext w:val="true"/>
      <w:keepLines/>
      <w:spacing w:before="40" w:after="0"/>
      <w:outlineLvl w:val="2"/>
    </w:pPr>
    <w:rPr>
      <w:rFonts w:ascii="Calibri Light" w:hAnsi="Calibri Light" w:eastAsia="游ゴシック Light" w:cs="Times New Roman" w:asciiTheme="majorHAnsi" w:cstheme="majorBidi" w:eastAsiaTheme="majorEastAsia" w:hAnsiTheme="majorHAnsi"/>
      <w:color w:val="1F3763" w:themeColor="accent1" w:themeShade="7f"/>
      <w:sz w:val="24"/>
      <w:szCs w:val="24"/>
    </w:rPr>
  </w:style>
  <w:style w:type="paragraph" w:styleId="Ttulo4">
    <w:name w:val="Heading 4"/>
    <w:basedOn w:val="Normal"/>
    <w:next w:val="Normal"/>
    <w:qFormat/>
    <w:pPr>
      <w:numPr>
        <w:ilvl w:val="3"/>
        <w:numId w:val="1"/>
      </w:numPr>
      <w:spacing w:before="0" w:after="120"/>
      <w:ind w:left="1134" w:hanging="0"/>
      <w:contextualSpacing/>
      <w:outlineLvl w:val="3"/>
    </w:pPr>
    <w:rPr>
      <w:rFonts w:cs="Arial"/>
      <w:bCs/>
      <w:iCs/>
      <w:szCs w:val="20"/>
    </w:rPr>
  </w:style>
  <w:style w:type="paragraph" w:styleId="Ttulo5">
    <w:name w:val="Heading 5"/>
    <w:basedOn w:val="Normal"/>
    <w:next w:val="Normal"/>
    <w:qFormat/>
    <w:pPr>
      <w:numPr>
        <w:ilvl w:val="4"/>
        <w:numId w:val="1"/>
      </w:numPr>
      <w:spacing w:before="0" w:after="120"/>
      <w:ind w:left="1701" w:hanging="0"/>
      <w:contextualSpacing/>
      <w:outlineLvl w:val="4"/>
    </w:pPr>
    <w:rPr>
      <w:rFonts w:cs="Arial"/>
    </w:rPr>
  </w:style>
  <w:style w:type="paragraph" w:styleId="Ttulo6">
    <w:name w:val="Heading 6"/>
    <w:basedOn w:val="Normal"/>
    <w:next w:val="Normal"/>
    <w:link w:val="Ttulo6Char"/>
    <w:uiPriority w:val="9"/>
    <w:semiHidden/>
    <w:unhideWhenUsed/>
    <w:qFormat/>
    <w:rsid w:val="008e1fe3"/>
    <w:pPr>
      <w:keepNext w:val="true"/>
      <w:keepLines/>
      <w:spacing w:before="40" w:after="0"/>
      <w:outlineLvl w:val="5"/>
    </w:pPr>
    <w:rPr>
      <w:rFonts w:ascii="Calibri Light" w:hAnsi="Calibri Light" w:eastAsia="游ゴシック Light" w:cs="Times New Roman"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Citao"/>
    <w:uiPriority w:val="29"/>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游ゴシック Light" w:cs="Arial" w:eastAsiaTheme="majorEastAsia"/>
      <w:b/>
      <w:color w:val="000000"/>
      <w:sz w:val="32"/>
      <w:szCs w:val="32"/>
    </w:rPr>
  </w:style>
  <w:style w:type="character" w:styleId="Ttulo1Char" w:customStyle="1">
    <w:name w:val="Título 1 Char"/>
    <w:basedOn w:val="DefaultParagraphFont"/>
    <w:link w:val="Ttulo1"/>
    <w:uiPriority w:val="9"/>
    <w:qFormat/>
    <w:rsid w:val="00fe71e3"/>
    <w:rPr>
      <w:rFonts w:ascii="Calibri Light" w:hAnsi="Calibri Light" w:eastAsia="游ゴシック Light" w:cs="Times New Roman"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Textodecomentrio"/>
    <w:uiPriority w:val="99"/>
    <w:qFormat/>
    <w:rsid w:val="00843661"/>
    <w:rPr>
      <w:sz w:val="20"/>
      <w:szCs w:val="20"/>
    </w:rPr>
  </w:style>
  <w:style w:type="character" w:styleId="AssuntodocomentrioChar" w:customStyle="1">
    <w:name w:val="Assunto do comentário Char"/>
    <w:basedOn w:val="TextodecomentrioChar"/>
    <w:link w:val="Assuntodocomentrio"/>
    <w:uiPriority w:val="99"/>
    <w:semiHidden/>
    <w:qFormat/>
    <w:rsid w:val="00843661"/>
    <w:rPr>
      <w:b/>
      <w:bCs/>
      <w:sz w:val="20"/>
      <w:szCs w:val="20"/>
    </w:rPr>
  </w:style>
  <w:style w:type="character" w:styleId="Ttulo6Char" w:customStyle="1">
    <w:name w:val="Título 6 Char"/>
    <w:basedOn w:val="DefaultParagraphFont"/>
    <w:link w:val="Ttulo6"/>
    <w:uiPriority w:val="9"/>
    <w:semiHidden/>
    <w:qFormat/>
    <w:rsid w:val="008e1fe3"/>
    <w:rPr>
      <w:rFonts w:ascii="Calibri Light" w:hAnsi="Calibri Light" w:eastAsia="游ゴシック Light" w:cs="Times New Roman" w:asciiTheme="majorHAnsi" w:cstheme="majorBidi" w:eastAsiaTheme="majorEastAsia" w:hAnsiTheme="majorHAnsi"/>
      <w:color w:val="1F3763" w:themeColor="accent1" w:themeShade="7f"/>
    </w:rPr>
  </w:style>
  <w:style w:type="character" w:styleId="Linkdainternetvisitado">
    <w:name w:val="Link da internet visitado"/>
    <w:basedOn w:val="DefaultParagraphFont"/>
    <w:uiPriority w:val="99"/>
    <w:semiHidden/>
    <w:unhideWhenUsed/>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Textodebalo"/>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kern w:val="2"/>
      <w:sz w:val="20"/>
      <w:szCs w:val="20"/>
      <w:shd w:fill="FFFFCC" w:val="clear"/>
      <w:lang w:eastAsia="zh-CN" w:bidi="hi-IN"/>
    </w:rPr>
  </w:style>
  <w:style w:type="character" w:styleId="CabealhoChar" w:customStyle="1">
    <w:name w:val="Cabeçalho Char"/>
    <w:basedOn w:val="DefaultParagraphFont"/>
    <w:link w:val="Cabealho"/>
    <w:uiPriority w:val="99"/>
    <w:qFormat/>
    <w:rsid w:val="0073140b"/>
    <w:rPr/>
  </w:style>
  <w:style w:type="character" w:styleId="RodapChar" w:customStyle="1">
    <w:name w:val="Rodapé Char"/>
    <w:basedOn w:val="DefaultParagraphFont"/>
    <w:link w:val="Rodap"/>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Ttulo3Char" w:customStyle="1">
    <w:name w:val="Título 3 Char"/>
    <w:basedOn w:val="DefaultParagraphFont"/>
    <w:link w:val="Ttulo3"/>
    <w:uiPriority w:val="9"/>
    <w:semiHidden/>
    <w:qFormat/>
    <w:rsid w:val="00902b3f"/>
    <w:rPr>
      <w:rFonts w:ascii="Calibri Light" w:hAnsi="Calibri Light" w:eastAsia="游ゴシック Light" w:cs="Times New Roman" w:asciiTheme="majorHAnsi" w:cstheme="majorBidi" w:eastAsiaTheme="majorEastAsia" w:hAnsiTheme="majorHAnsi"/>
      <w:color w:val="1F3763" w:themeColor="accent1" w:themeShade="7f"/>
      <w:sz w:val="24"/>
      <w:szCs w:val="24"/>
    </w:rPr>
  </w:style>
  <w:style w:type="character" w:styleId="MenoPendente4" w:customStyle="1">
    <w:name w:val="Menção Pendente4"/>
    <w:basedOn w:val="DefaultParagraphFont"/>
    <w:uiPriority w:val="99"/>
    <w:semiHidden/>
    <w:unhideWhenUsed/>
    <w:qFormat/>
    <w:rsid w:val="00094642"/>
    <w:rPr>
      <w:color w:val="605E5C"/>
      <w:shd w:fill="E1DFDD" w:val="clear"/>
    </w:rPr>
  </w:style>
  <w:style w:type="character" w:styleId="Manoel" w:customStyle="1">
    <w:name w:val="Manoel"/>
    <w:qFormat/>
    <w:rsid w:val="006f5501"/>
    <w:rPr>
      <w:rFonts w:ascii="Arial" w:hAnsi="Arial" w:cs="Arial"/>
      <w:color w:val="7030A0"/>
      <w:sz w:val="20"/>
    </w:rPr>
  </w:style>
  <w:style w:type="character" w:styleId="Normaltextrun" w:customStyle="1">
    <w:name w:val="normaltextrun"/>
    <w:basedOn w:val="DefaultParagraphFont"/>
    <w:qFormat/>
    <w:rsid w:val="00b558b2"/>
    <w:rPr/>
  </w:style>
  <w:style w:type="character" w:styleId="Eop" w:customStyle="1">
    <w:name w:val="eop"/>
    <w:basedOn w:val="DefaultParagraphFont"/>
    <w:qFormat/>
    <w:rsid w:val="00b558b2"/>
    <w:rPr/>
  </w:style>
  <w:style w:type="character" w:styleId="Fontepargpadro1" w:customStyle="1">
    <w:name w:val="fontepargpadro1"/>
    <w:basedOn w:val="DefaultParagraphFont"/>
    <w:qFormat/>
    <w:rsid w:val="00b411c4"/>
    <w:rPr/>
  </w:style>
  <w:style w:type="character" w:styleId="BookTitle">
    <w:name w:val="Book Title"/>
    <w:basedOn w:val="DefaultParagraphFont"/>
    <w:qFormat/>
    <w:rPr>
      <w:b/>
      <w:bCs/>
      <w:i/>
      <w:iCs/>
      <w:spacing w:val="5"/>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00000A"/>
      <w:kern w:val="2"/>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kern w:val="2"/>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clear" w:pos="708"/>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val="true"/>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kern w:val="0"/>
      <w:sz w:val="20"/>
      <w:szCs w:val="24"/>
      <w:lang w:val="pt-BR" w:eastAsia="zh-CN" w:bidi="hi-IN"/>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3140b"/>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lear" w:pos="708"/>
        <w:tab w:val="center" w:pos="4252" w:leader="none"/>
        <w:tab w:val="right" w:pos="8504" w:leader="none"/>
      </w:tabs>
      <w:spacing w:lineRule="auto" w:line="240" w:before="0" w:after="0"/>
    </w:pPr>
    <w:rPr/>
  </w:style>
  <w:style w:type="paragraph" w:styleId="Nivel01Titulo" w:customStyle="1">
    <w:name w:val="Nivel_01_Titulo"/>
    <w:basedOn w:val="Ttulo1"/>
    <w:next w:val="Normal"/>
    <w:qFormat/>
    <w:rsid w:val="003372fe"/>
    <w:pPr>
      <w:tabs>
        <w:tab w:val="clear" w:pos="708"/>
        <w:tab w:val="left" w:pos="360" w:leader="none"/>
        <w:tab w:val="left" w:pos="567" w:leader="none"/>
      </w:tabs>
      <w:spacing w:lineRule="auto" w:line="240"/>
      <w:jc w:val="both"/>
    </w:pPr>
    <w:rPr>
      <w:rFonts w:ascii="Arial" w:hAnsi="Arial" w:cs="Times New Roman"/>
      <w:b/>
      <w:bCs/>
      <w:sz w:val="20"/>
      <w:szCs w:val="20"/>
      <w:lang w:eastAsia="pt-BR"/>
    </w:rPr>
  </w:style>
  <w:style w:type="paragraph" w:styleId="Revision">
    <w:name w:val="Revision"/>
    <w:uiPriority w:val="99"/>
    <w:semiHidden/>
    <w:qFormat/>
    <w:rsid w:val="009120c1"/>
    <w:pPr>
      <w:widowControl/>
      <w:suppressAutoHyphens w:val="true"/>
      <w:bidi w:val="0"/>
      <w:spacing w:lineRule="auto" w:line="240" w:before="0" w:after="0"/>
      <w:jc w:val="left"/>
    </w:pPr>
    <w:rPr>
      <w:rFonts w:ascii="Calibri" w:hAnsi="Calibri" w:eastAsia="Calibri" w:cs="Arial" w:asciiTheme="minorHAnsi" w:cstheme="minorBidi" w:eastAsiaTheme="minorHAnsi" w:hAnsiTheme="minorHAnsi"/>
      <w:color w:val="00000A"/>
      <w:kern w:val="0"/>
      <w:sz w:val="22"/>
      <w:szCs w:val="22"/>
      <w:lang w:val="pt-BR" w:eastAsia="en-US" w:bidi="ar-SA"/>
    </w:rPr>
  </w:style>
  <w:style w:type="paragraph" w:styleId="Paragraph" w:customStyle="1">
    <w:name w:val="paragraph"/>
    <w:basedOn w:val="Normal"/>
    <w:qFormat/>
    <w:rsid w:val="00b558b2"/>
    <w:pPr>
      <w:spacing w:lineRule="auto" w:line="240" w:beforeAutospacing="1" w:afterAutospacing="1"/>
    </w:pPr>
    <w:rPr>
      <w:rFonts w:ascii="Times New Roman" w:hAnsi="Times New Roman" w:eastAsia="Times New Roman" w:cs="Times New Roman"/>
      <w:sz w:val="24"/>
      <w:szCs w:val="24"/>
      <w:lang w:eastAsia="pt-BR"/>
    </w:rPr>
  </w:style>
  <w:style w:type="paragraph" w:styleId="CAPA">
    <w:name w:val="CAPA"/>
    <w:qFormat/>
    <w:pPr>
      <w:widowControl/>
      <w:suppressAutoHyphens w:val="true"/>
      <w:bidi w:val="0"/>
      <w:spacing w:lineRule="auto" w:line="360" w:before="0" w:after="0"/>
      <w:contextualSpacing/>
      <w:jc w:val="center"/>
    </w:pPr>
    <w:rPr>
      <w:rFonts w:ascii="Calibri Light" w:hAnsi="Calibri Light" w:eastAsia="Segoe UI" w:cs="Arial"/>
      <w:b/>
      <w:caps/>
      <w:color w:val="00000A"/>
      <w:kern w:val="0"/>
      <w:sz w:val="36"/>
      <w:szCs w:val="36"/>
      <w:lang w:val="pt-BR" w:eastAsia="pt-BR" w:bidi="ar-SA"/>
    </w:rPr>
  </w:style>
  <w:style w:type="paragraph" w:styleId="CAPAOUTROSELEM">
    <w:name w:val="CAPA - OUTROS ELEM"/>
    <w:basedOn w:val="CAPA"/>
    <w:qFormat/>
    <w:pPr/>
    <w:rPr>
      <w:sz w:val="24"/>
      <w:szCs w:val="24"/>
    </w:rPr>
  </w:style>
  <w:style w:type="paragraph" w:styleId="Nivel01">
    <w:name w:val="Nivel 01"/>
    <w:basedOn w:val="Ttulo1"/>
    <w:next w:val="Normal"/>
    <w:qFormat/>
    <w:pPr>
      <w:tabs>
        <w:tab w:val="clear" w:pos="708"/>
        <w:tab w:val="left" w:pos="567" w:leader="none"/>
      </w:tabs>
      <w:spacing w:lineRule="auto" w:line="240" w:before="240" w:after="0"/>
      <w:ind w:left="0" w:hanging="0"/>
      <w:contextualSpacing/>
    </w:pPr>
    <w:rPr>
      <w:rFonts w:ascii="Arial" w:hAnsi="Arial" w:eastAsia="游ゴシック Light" w:eastAsiaTheme="majorEastAsia"/>
      <w:caps w:val="false"/>
      <w:smallCaps w:val="false"/>
      <w:sz w:val="20"/>
      <w:szCs w:val="20"/>
    </w:rPr>
  </w:style>
  <w:style w:type="paragraph" w:styleId="Ttulododocumento">
    <w:name w:val="Title"/>
    <w:basedOn w:val="Normal"/>
    <w:qFormat/>
    <w:pPr>
      <w:spacing w:before="240" w:after="240"/>
      <w:contextualSpacing/>
    </w:pPr>
    <w:rPr>
      <w:b/>
      <w:i/>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comments" Target="comment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2.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40F638-57CF-492B-9E65-C7FEA9548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9E17C-1EF5-4A06-8CE0-E5600230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Application>LibreOffice/6.4.7.2$Linux_X86_64 LibreOffice_project/40$Build-2</Application>
  <Pages>19</Pages>
  <Words>6525</Words>
  <Characters>38023</Characters>
  <CharactersWithSpaces>44116</CharactersWithSpaces>
  <Paragraphs>307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2022-07-14T23:21:00Z</dcterms:created>
  <dc:creator>Marcela Ali Tarif</dc:creator>
  <dc:description/>
  <dc:language>pt-BR</dc:language>
  <cp:lastModifiedBy/>
  <dcterms:modified xsi:type="dcterms:W3CDTF">2023-10-26T13:19:55Z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